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6E5" w:rsidRDefault="009206E5" w:rsidP="009206E5">
      <w:pPr>
        <w:jc w:val="center"/>
        <w:rPr>
          <w:rFonts w:ascii="Arial" w:hAnsi="Arial" w:cs="Arial"/>
          <w:b/>
        </w:rPr>
      </w:pPr>
      <w:bookmarkStart w:id="0" w:name="_GoBack"/>
      <w:bookmarkEnd w:id="0"/>
      <w:r>
        <w:rPr>
          <w:rFonts w:ascii="Arial" w:hAnsi="Arial" w:cs="Arial"/>
          <w:b/>
        </w:rPr>
        <w:t>Scrutiny Committee Report</w:t>
      </w:r>
    </w:p>
    <w:p w:rsidR="009206E5" w:rsidRDefault="009206E5" w:rsidP="009206E5">
      <w:pPr>
        <w:jc w:val="center"/>
        <w:rPr>
          <w:rFonts w:ascii="Arial" w:hAnsi="Arial" w:cs="Arial"/>
          <w:b/>
        </w:rPr>
      </w:pPr>
      <w:r>
        <w:rPr>
          <w:rFonts w:ascii="Arial" w:hAnsi="Arial" w:cs="Arial"/>
          <w:b/>
        </w:rPr>
        <w:t>Housing Associations</w:t>
      </w:r>
    </w:p>
    <w:p w:rsidR="009D3363" w:rsidRDefault="009206E5" w:rsidP="003C4057">
      <w:pPr>
        <w:jc w:val="center"/>
        <w:rPr>
          <w:rFonts w:ascii="Arial" w:hAnsi="Arial" w:cs="Arial"/>
          <w:b/>
        </w:rPr>
      </w:pPr>
      <w:r>
        <w:rPr>
          <w:rFonts w:ascii="Arial" w:hAnsi="Arial" w:cs="Arial"/>
          <w:b/>
        </w:rPr>
        <w:t>17</w:t>
      </w:r>
      <w:r w:rsidRPr="009206E5">
        <w:rPr>
          <w:rFonts w:ascii="Arial" w:hAnsi="Arial" w:cs="Arial"/>
          <w:b/>
          <w:vertAlign w:val="superscript"/>
        </w:rPr>
        <w:t>th</w:t>
      </w:r>
      <w:r>
        <w:rPr>
          <w:rFonts w:ascii="Arial" w:hAnsi="Arial" w:cs="Arial"/>
          <w:b/>
        </w:rPr>
        <w:t xml:space="preserve"> March 2020</w:t>
      </w:r>
    </w:p>
    <w:p w:rsidR="00246882" w:rsidRDefault="002702FC">
      <w:pPr>
        <w:rPr>
          <w:rFonts w:ascii="Arial" w:hAnsi="Arial" w:cs="Arial"/>
          <w:color w:val="000000"/>
        </w:rPr>
      </w:pPr>
      <w:r w:rsidRPr="002702FC">
        <w:rPr>
          <w:rFonts w:ascii="Arial" w:hAnsi="Arial" w:cs="Arial"/>
          <w:color w:val="000000"/>
        </w:rPr>
        <w:t xml:space="preserve">Social housing </w:t>
      </w:r>
      <w:r w:rsidR="00246882">
        <w:rPr>
          <w:rFonts w:ascii="Arial" w:hAnsi="Arial" w:cs="Arial"/>
          <w:color w:val="000000"/>
        </w:rPr>
        <w:t xml:space="preserve">over the years has moved from being directed and managed by local authorities to being led by a mix of social housing providers. Changes have taken place in the financing and management of social housing leading many local authorities to transfer their housing stock and housing management functions to arms-length management organisations (ALMOs), not for profit social landlords or housing associations (now generally termed Registered Providers of Social Housing (RPSH). </w:t>
      </w:r>
      <w:proofErr w:type="gramStart"/>
      <w:r w:rsidR="00246882">
        <w:rPr>
          <w:rFonts w:ascii="Arial" w:hAnsi="Arial" w:cs="Arial"/>
          <w:color w:val="000000"/>
        </w:rPr>
        <w:t>A number of</w:t>
      </w:r>
      <w:proofErr w:type="gramEnd"/>
      <w:r w:rsidR="00246882">
        <w:rPr>
          <w:rFonts w:ascii="Arial" w:hAnsi="Arial" w:cs="Arial"/>
          <w:color w:val="000000"/>
        </w:rPr>
        <w:t xml:space="preserve"> local authorities carried out large scale voluntary transfers (LSVTs) with the approval of their tenants as a result of financial restrictions that were placed on the Housing Revenue Account and limitations in local authority capital finance for housing.</w:t>
      </w:r>
    </w:p>
    <w:p w:rsidR="00246882" w:rsidRDefault="00246882">
      <w:pPr>
        <w:rPr>
          <w:rFonts w:ascii="Arial" w:hAnsi="Arial" w:cs="Arial"/>
          <w:color w:val="000000"/>
        </w:rPr>
      </w:pPr>
      <w:r>
        <w:rPr>
          <w:rFonts w:ascii="Arial" w:hAnsi="Arial" w:cs="Arial"/>
          <w:color w:val="000000"/>
        </w:rPr>
        <w:t xml:space="preserve">In 1994, South Ribble Borough Council transferred its housing stock and management function to New Progress Housing Association (now Progress Housing </w:t>
      </w:r>
      <w:r w:rsidR="00390D06">
        <w:rPr>
          <w:rFonts w:ascii="Arial" w:hAnsi="Arial" w:cs="Arial"/>
          <w:color w:val="000000"/>
        </w:rPr>
        <w:t>Group</w:t>
      </w:r>
      <w:r>
        <w:rPr>
          <w:rFonts w:ascii="Arial" w:hAnsi="Arial" w:cs="Arial"/>
          <w:color w:val="000000"/>
        </w:rPr>
        <w:t>).</w:t>
      </w:r>
      <w:r w:rsidR="009243ED">
        <w:rPr>
          <w:rFonts w:ascii="Arial" w:hAnsi="Arial" w:cs="Arial"/>
          <w:color w:val="000000"/>
        </w:rPr>
        <w:t xml:space="preserve"> Similarly,</w:t>
      </w:r>
      <w:r w:rsidR="00744FE9">
        <w:rPr>
          <w:rFonts w:ascii="Arial" w:hAnsi="Arial" w:cs="Arial"/>
          <w:color w:val="000000"/>
        </w:rPr>
        <w:t xml:space="preserve"> in 2007</w:t>
      </w:r>
      <w:r w:rsidR="009243ED">
        <w:rPr>
          <w:rFonts w:ascii="Arial" w:hAnsi="Arial" w:cs="Arial"/>
          <w:color w:val="000000"/>
        </w:rPr>
        <w:t xml:space="preserve"> Chorley Borough Council transferred their stock to Chorley Community Housing (now part of the Jigsaw Group) and</w:t>
      </w:r>
      <w:r w:rsidR="00744FE9">
        <w:rPr>
          <w:rFonts w:ascii="Arial" w:hAnsi="Arial" w:cs="Arial"/>
          <w:color w:val="000000"/>
        </w:rPr>
        <w:t xml:space="preserve"> in 2005</w:t>
      </w:r>
      <w:r w:rsidR="009243ED">
        <w:rPr>
          <w:rFonts w:ascii="Arial" w:hAnsi="Arial" w:cs="Arial"/>
          <w:color w:val="000000"/>
        </w:rPr>
        <w:t xml:space="preserve"> Preston City Council transferred their stock to Community Gateway Association.</w:t>
      </w:r>
    </w:p>
    <w:p w:rsidR="00E977E4" w:rsidRDefault="00E977E4">
      <w:pPr>
        <w:rPr>
          <w:rFonts w:ascii="Arial" w:hAnsi="Arial" w:cs="Arial"/>
        </w:rPr>
      </w:pPr>
      <w:r>
        <w:rPr>
          <w:rFonts w:ascii="Arial" w:hAnsi="Arial" w:cs="Arial"/>
        </w:rPr>
        <w:t xml:space="preserve">Social </w:t>
      </w:r>
      <w:r w:rsidR="009243ED">
        <w:rPr>
          <w:rFonts w:ascii="Arial" w:hAnsi="Arial" w:cs="Arial"/>
        </w:rPr>
        <w:t>h</w:t>
      </w:r>
      <w:r>
        <w:rPr>
          <w:rFonts w:ascii="Arial" w:hAnsi="Arial" w:cs="Arial"/>
        </w:rPr>
        <w:t xml:space="preserve">ousing </w:t>
      </w:r>
      <w:r w:rsidR="009243ED">
        <w:rPr>
          <w:rFonts w:ascii="Arial" w:hAnsi="Arial" w:cs="Arial"/>
        </w:rPr>
        <w:t>providers</w:t>
      </w:r>
      <w:r>
        <w:rPr>
          <w:rFonts w:ascii="Arial" w:hAnsi="Arial" w:cs="Arial"/>
        </w:rPr>
        <w:t xml:space="preserve"> have </w:t>
      </w:r>
      <w:r w:rsidR="00DD3C40">
        <w:rPr>
          <w:rFonts w:ascii="Arial" w:hAnsi="Arial" w:cs="Arial"/>
        </w:rPr>
        <w:t>experienced</w:t>
      </w:r>
      <w:r>
        <w:rPr>
          <w:rFonts w:ascii="Arial" w:hAnsi="Arial" w:cs="Arial"/>
        </w:rPr>
        <w:t xml:space="preserve"> significant pressures </w:t>
      </w:r>
      <w:r w:rsidR="00D14078">
        <w:rPr>
          <w:rFonts w:ascii="Arial" w:hAnsi="Arial" w:cs="Arial"/>
        </w:rPr>
        <w:t xml:space="preserve">including a </w:t>
      </w:r>
      <w:r w:rsidR="0072372E">
        <w:rPr>
          <w:rFonts w:ascii="Arial" w:hAnsi="Arial" w:cs="Arial"/>
        </w:rPr>
        <w:t>drastic reduction in grant funding for affordable housing</w:t>
      </w:r>
      <w:r w:rsidR="00D14078">
        <w:rPr>
          <w:rFonts w:ascii="Arial" w:hAnsi="Arial" w:cs="Arial"/>
        </w:rPr>
        <w:t xml:space="preserve">; the requirement to deliver the Decent Homes Programme; the actions of the Social Housing Regulator through its regular assessments of organisational governance and viability, </w:t>
      </w:r>
      <w:r w:rsidR="0072372E">
        <w:rPr>
          <w:rFonts w:ascii="Arial" w:hAnsi="Arial" w:cs="Arial"/>
        </w:rPr>
        <w:t xml:space="preserve">Welfare Reform measures </w:t>
      </w:r>
      <w:r w:rsidR="00D14078">
        <w:rPr>
          <w:rFonts w:ascii="Arial" w:hAnsi="Arial" w:cs="Arial"/>
        </w:rPr>
        <w:t xml:space="preserve">and </w:t>
      </w:r>
      <w:r w:rsidR="00826FB3">
        <w:rPr>
          <w:rFonts w:ascii="Arial" w:hAnsi="Arial" w:cs="Arial"/>
        </w:rPr>
        <w:t xml:space="preserve">more recently </w:t>
      </w:r>
      <w:r w:rsidR="00D14078">
        <w:rPr>
          <w:rFonts w:ascii="Arial" w:hAnsi="Arial" w:cs="Arial"/>
        </w:rPr>
        <w:t>the 1% rent cut.</w:t>
      </w:r>
    </w:p>
    <w:p w:rsidR="00826FB3" w:rsidRDefault="00D14078" w:rsidP="00826FB3">
      <w:pPr>
        <w:rPr>
          <w:rFonts w:ascii="Arial" w:hAnsi="Arial" w:cs="Arial"/>
        </w:rPr>
      </w:pPr>
      <w:r>
        <w:rPr>
          <w:rFonts w:ascii="Arial" w:hAnsi="Arial" w:cs="Arial"/>
        </w:rPr>
        <w:t xml:space="preserve">Responses to these pressures </w:t>
      </w:r>
      <w:r w:rsidR="00826FB3">
        <w:rPr>
          <w:rFonts w:ascii="Arial" w:hAnsi="Arial" w:cs="Arial"/>
        </w:rPr>
        <w:t>have resulted in</w:t>
      </w:r>
      <w:r w:rsidR="009243ED">
        <w:rPr>
          <w:rFonts w:ascii="Arial" w:hAnsi="Arial" w:cs="Arial"/>
        </w:rPr>
        <w:t xml:space="preserve"> i</w:t>
      </w:r>
      <w:r>
        <w:rPr>
          <w:rFonts w:ascii="Arial" w:hAnsi="Arial" w:cs="Arial"/>
        </w:rPr>
        <w:t xml:space="preserve">ncreasing organisational scale, merging </w:t>
      </w:r>
      <w:r w:rsidR="0066306C">
        <w:rPr>
          <w:rFonts w:ascii="Arial" w:hAnsi="Arial" w:cs="Arial"/>
        </w:rPr>
        <w:t xml:space="preserve">organisations </w:t>
      </w:r>
      <w:r w:rsidR="009243ED">
        <w:rPr>
          <w:rFonts w:ascii="Arial" w:hAnsi="Arial" w:cs="Arial"/>
        </w:rPr>
        <w:t xml:space="preserve">which brings </w:t>
      </w:r>
      <w:r>
        <w:rPr>
          <w:rFonts w:ascii="Arial" w:hAnsi="Arial" w:cs="Arial"/>
        </w:rPr>
        <w:t xml:space="preserve">benefits such as financial capacity, scaling up of development and diversification into intermediate and market housing </w:t>
      </w:r>
      <w:r w:rsidR="009243ED">
        <w:rPr>
          <w:rFonts w:ascii="Arial" w:hAnsi="Arial" w:cs="Arial"/>
        </w:rPr>
        <w:t>to</w:t>
      </w:r>
      <w:r>
        <w:rPr>
          <w:rFonts w:ascii="Arial" w:hAnsi="Arial" w:cs="Arial"/>
        </w:rPr>
        <w:t xml:space="preserve"> raise finance and cross-subsidise the development of affordable housing.</w:t>
      </w:r>
    </w:p>
    <w:p w:rsidR="003C4057" w:rsidRPr="003C4057" w:rsidRDefault="003C4057" w:rsidP="00826FB3">
      <w:pPr>
        <w:rPr>
          <w:rFonts w:ascii="Arial" w:hAnsi="Arial" w:cs="Arial"/>
        </w:rPr>
      </w:pPr>
    </w:p>
    <w:p w:rsidR="00826FB3" w:rsidRDefault="00826FB3" w:rsidP="00826FB3">
      <w:pPr>
        <w:rPr>
          <w:rFonts w:ascii="Arial" w:hAnsi="Arial" w:cs="Arial"/>
          <w:b/>
        </w:rPr>
      </w:pPr>
      <w:r>
        <w:rPr>
          <w:rFonts w:ascii="Arial" w:hAnsi="Arial" w:cs="Arial"/>
          <w:b/>
        </w:rPr>
        <w:t>Registered Providers of Social Housing in South Ribble</w:t>
      </w:r>
    </w:p>
    <w:p w:rsidR="00826FB3" w:rsidRDefault="00826FB3" w:rsidP="00826FB3">
      <w:pPr>
        <w:rPr>
          <w:rFonts w:ascii="Arial" w:hAnsi="Arial" w:cs="Arial"/>
        </w:rPr>
      </w:pPr>
      <w:r>
        <w:rPr>
          <w:rFonts w:ascii="Arial" w:hAnsi="Arial" w:cs="Arial"/>
        </w:rPr>
        <w:t xml:space="preserve">Registered </w:t>
      </w:r>
      <w:r w:rsidR="005A401B">
        <w:rPr>
          <w:rFonts w:ascii="Arial" w:hAnsi="Arial" w:cs="Arial"/>
        </w:rPr>
        <w:t>providers</w:t>
      </w:r>
      <w:r>
        <w:rPr>
          <w:rFonts w:ascii="Arial" w:hAnsi="Arial" w:cs="Arial"/>
        </w:rPr>
        <w:t xml:space="preserve"> of social </w:t>
      </w:r>
      <w:r w:rsidR="005A401B">
        <w:rPr>
          <w:rFonts w:ascii="Arial" w:hAnsi="Arial" w:cs="Arial"/>
        </w:rPr>
        <w:t>housing are a varied group of organisations, some large national housing associations and some small local housing provider</w:t>
      </w:r>
      <w:r w:rsidR="0066306C">
        <w:rPr>
          <w:rFonts w:ascii="Arial" w:hAnsi="Arial" w:cs="Arial"/>
        </w:rPr>
        <w:t>s</w:t>
      </w:r>
      <w:r w:rsidR="005A401B">
        <w:rPr>
          <w:rFonts w:ascii="Arial" w:hAnsi="Arial" w:cs="Arial"/>
        </w:rPr>
        <w:t>.</w:t>
      </w:r>
      <w:r>
        <w:rPr>
          <w:rFonts w:ascii="Arial" w:hAnsi="Arial" w:cs="Arial"/>
        </w:rPr>
        <w:t xml:space="preserve"> There are </w:t>
      </w:r>
      <w:proofErr w:type="gramStart"/>
      <w:r>
        <w:rPr>
          <w:rFonts w:ascii="Arial" w:hAnsi="Arial" w:cs="Arial"/>
        </w:rPr>
        <w:t>a number of</w:t>
      </w:r>
      <w:proofErr w:type="gramEnd"/>
      <w:r>
        <w:rPr>
          <w:rFonts w:ascii="Arial" w:hAnsi="Arial" w:cs="Arial"/>
        </w:rPr>
        <w:t xml:space="preserve"> </w:t>
      </w:r>
      <w:r w:rsidR="005A401B">
        <w:rPr>
          <w:rFonts w:ascii="Arial" w:hAnsi="Arial" w:cs="Arial"/>
        </w:rPr>
        <w:t>housing associations</w:t>
      </w:r>
      <w:r>
        <w:rPr>
          <w:rFonts w:ascii="Arial" w:hAnsi="Arial" w:cs="Arial"/>
        </w:rPr>
        <w:t xml:space="preserve"> operating in South Ribble providing homes across a range of tenures such as Social Rent, Affordable Rent and Shared Ownership.</w:t>
      </w:r>
      <w:r w:rsidR="005A401B">
        <w:rPr>
          <w:rFonts w:ascii="Arial" w:hAnsi="Arial" w:cs="Arial"/>
        </w:rPr>
        <w:t xml:space="preserve"> Housing associations own around 11% of the total dwellings in South Ribble which is below the national average of around 18%.</w:t>
      </w:r>
    </w:p>
    <w:p w:rsidR="00826FB3" w:rsidRDefault="00826FB3" w:rsidP="00826FB3">
      <w:pPr>
        <w:rPr>
          <w:rFonts w:ascii="Arial" w:hAnsi="Arial" w:cs="Arial"/>
        </w:rPr>
      </w:pPr>
      <w:r>
        <w:rPr>
          <w:rFonts w:ascii="Arial" w:hAnsi="Arial" w:cs="Arial"/>
        </w:rPr>
        <w:t>Homes available for Social Rent and Affordable Rent are let thorough the Councils Choice Based Lettings Scheme known as Select Move which is shared with Chorley and Preston Councils. The Select Move Partnership includes the following housing associations:</w:t>
      </w:r>
    </w:p>
    <w:p w:rsidR="00826FB3" w:rsidRDefault="005A401B" w:rsidP="005A401B">
      <w:pPr>
        <w:pStyle w:val="ListParagraph"/>
        <w:numPr>
          <w:ilvl w:val="0"/>
          <w:numId w:val="15"/>
        </w:numPr>
        <w:rPr>
          <w:rFonts w:ascii="Arial" w:hAnsi="Arial" w:cs="Arial"/>
        </w:rPr>
      </w:pPr>
      <w:r>
        <w:rPr>
          <w:rFonts w:ascii="Arial" w:hAnsi="Arial" w:cs="Arial"/>
        </w:rPr>
        <w:t>Accent Housing</w:t>
      </w:r>
    </w:p>
    <w:p w:rsidR="005A401B" w:rsidRDefault="005A401B" w:rsidP="005A401B">
      <w:pPr>
        <w:pStyle w:val="ListParagraph"/>
        <w:numPr>
          <w:ilvl w:val="0"/>
          <w:numId w:val="15"/>
        </w:numPr>
        <w:rPr>
          <w:rFonts w:ascii="Arial" w:hAnsi="Arial" w:cs="Arial"/>
        </w:rPr>
      </w:pPr>
      <w:r>
        <w:rPr>
          <w:rFonts w:ascii="Arial" w:hAnsi="Arial" w:cs="Arial"/>
        </w:rPr>
        <w:t>Chorley Community Housing (part of Jigsaw Homes)</w:t>
      </w:r>
    </w:p>
    <w:p w:rsidR="005A401B" w:rsidRDefault="005A401B" w:rsidP="005A401B">
      <w:pPr>
        <w:pStyle w:val="ListParagraph"/>
        <w:numPr>
          <w:ilvl w:val="0"/>
          <w:numId w:val="15"/>
        </w:numPr>
        <w:rPr>
          <w:rFonts w:ascii="Arial" w:hAnsi="Arial" w:cs="Arial"/>
        </w:rPr>
      </w:pPr>
      <w:r>
        <w:rPr>
          <w:rFonts w:ascii="Arial" w:hAnsi="Arial" w:cs="Arial"/>
        </w:rPr>
        <w:t>Community Gateway Association</w:t>
      </w:r>
    </w:p>
    <w:p w:rsidR="005A401B" w:rsidRDefault="00D71F6C" w:rsidP="005A401B">
      <w:pPr>
        <w:pStyle w:val="ListParagraph"/>
        <w:numPr>
          <w:ilvl w:val="0"/>
          <w:numId w:val="15"/>
        </w:numPr>
        <w:rPr>
          <w:rFonts w:ascii="Arial" w:hAnsi="Arial" w:cs="Arial"/>
        </w:rPr>
      </w:pPr>
      <w:r>
        <w:rPr>
          <w:rFonts w:ascii="Arial" w:hAnsi="Arial" w:cs="Arial"/>
        </w:rPr>
        <w:t>Great Places</w:t>
      </w:r>
    </w:p>
    <w:p w:rsidR="00D71F6C" w:rsidRDefault="00D71F6C" w:rsidP="005A401B">
      <w:pPr>
        <w:pStyle w:val="ListParagraph"/>
        <w:numPr>
          <w:ilvl w:val="0"/>
          <w:numId w:val="15"/>
        </w:numPr>
        <w:rPr>
          <w:rFonts w:ascii="Arial" w:hAnsi="Arial" w:cs="Arial"/>
        </w:rPr>
      </w:pPr>
      <w:r>
        <w:rPr>
          <w:rFonts w:ascii="Arial" w:hAnsi="Arial" w:cs="Arial"/>
        </w:rPr>
        <w:t>Onward Homes</w:t>
      </w:r>
    </w:p>
    <w:p w:rsidR="00D71F6C" w:rsidRDefault="00D71F6C" w:rsidP="005A401B">
      <w:pPr>
        <w:pStyle w:val="ListParagraph"/>
        <w:numPr>
          <w:ilvl w:val="0"/>
          <w:numId w:val="15"/>
        </w:numPr>
        <w:rPr>
          <w:rFonts w:ascii="Arial" w:hAnsi="Arial" w:cs="Arial"/>
        </w:rPr>
      </w:pPr>
      <w:r>
        <w:rPr>
          <w:rFonts w:ascii="Arial" w:hAnsi="Arial" w:cs="Arial"/>
        </w:rPr>
        <w:t>Places for People</w:t>
      </w:r>
    </w:p>
    <w:p w:rsidR="00D71F6C" w:rsidRDefault="00D71F6C" w:rsidP="005A401B">
      <w:pPr>
        <w:pStyle w:val="ListParagraph"/>
        <w:numPr>
          <w:ilvl w:val="0"/>
          <w:numId w:val="15"/>
        </w:numPr>
        <w:rPr>
          <w:rFonts w:ascii="Arial" w:hAnsi="Arial" w:cs="Arial"/>
        </w:rPr>
      </w:pPr>
      <w:r>
        <w:rPr>
          <w:rFonts w:ascii="Arial" w:hAnsi="Arial" w:cs="Arial"/>
        </w:rPr>
        <w:t>Progress Housing Group</w:t>
      </w:r>
    </w:p>
    <w:p w:rsidR="00D71F6C" w:rsidRDefault="00D71F6C" w:rsidP="005A401B">
      <w:pPr>
        <w:pStyle w:val="ListParagraph"/>
        <w:numPr>
          <w:ilvl w:val="0"/>
          <w:numId w:val="15"/>
        </w:numPr>
        <w:rPr>
          <w:rFonts w:ascii="Arial" w:hAnsi="Arial" w:cs="Arial"/>
        </w:rPr>
      </w:pPr>
      <w:r>
        <w:rPr>
          <w:rFonts w:ascii="Arial" w:hAnsi="Arial" w:cs="Arial"/>
        </w:rPr>
        <w:lastRenderedPageBreak/>
        <w:t>Together Housing Group</w:t>
      </w:r>
    </w:p>
    <w:p w:rsidR="00D71F6C" w:rsidRDefault="00D71F6C" w:rsidP="005A401B">
      <w:pPr>
        <w:pStyle w:val="ListParagraph"/>
        <w:numPr>
          <w:ilvl w:val="0"/>
          <w:numId w:val="15"/>
        </w:numPr>
        <w:rPr>
          <w:rFonts w:ascii="Arial" w:hAnsi="Arial" w:cs="Arial"/>
        </w:rPr>
      </w:pPr>
      <w:r>
        <w:rPr>
          <w:rFonts w:ascii="Arial" w:hAnsi="Arial" w:cs="Arial"/>
        </w:rPr>
        <w:t>Sage Housing</w:t>
      </w:r>
    </w:p>
    <w:p w:rsidR="00D71F6C" w:rsidRPr="005A401B" w:rsidRDefault="00D71F6C" w:rsidP="005A401B">
      <w:pPr>
        <w:pStyle w:val="ListParagraph"/>
        <w:numPr>
          <w:ilvl w:val="0"/>
          <w:numId w:val="15"/>
        </w:numPr>
        <w:rPr>
          <w:rFonts w:ascii="Arial" w:hAnsi="Arial" w:cs="Arial"/>
        </w:rPr>
      </w:pPr>
      <w:r>
        <w:rPr>
          <w:rFonts w:ascii="Arial" w:hAnsi="Arial" w:cs="Arial"/>
        </w:rPr>
        <w:t>Your Housing Group</w:t>
      </w:r>
    </w:p>
    <w:p w:rsidR="00FA0BE9" w:rsidRDefault="00137113" w:rsidP="00826FB3">
      <w:pPr>
        <w:spacing w:after="0"/>
        <w:rPr>
          <w:rFonts w:ascii="Arial" w:hAnsi="Arial" w:cs="Arial"/>
        </w:rPr>
      </w:pPr>
      <w:r>
        <w:rPr>
          <w:rFonts w:ascii="Arial" w:hAnsi="Arial" w:cs="Arial"/>
        </w:rPr>
        <w:t>The table below</w:t>
      </w:r>
      <w:r w:rsidR="00CA42BF">
        <w:rPr>
          <w:rFonts w:ascii="Arial" w:hAnsi="Arial" w:cs="Arial"/>
        </w:rPr>
        <w:t xml:space="preserve"> outlines the registered providers operating in South Ribble</w:t>
      </w:r>
      <w:r w:rsidR="0066306C">
        <w:rPr>
          <w:rFonts w:ascii="Arial" w:hAnsi="Arial" w:cs="Arial"/>
        </w:rPr>
        <w:t xml:space="preserve"> and the number of homes that they have in South Ribble across the range of tenures:</w:t>
      </w:r>
    </w:p>
    <w:p w:rsidR="00FA0BE9" w:rsidRDefault="00FA0BE9" w:rsidP="00826FB3">
      <w:pPr>
        <w:spacing w:after="0"/>
        <w:rPr>
          <w:rFonts w:ascii="Arial" w:hAnsi="Arial" w:cs="Arial"/>
        </w:rPr>
      </w:pPr>
    </w:p>
    <w:tbl>
      <w:tblPr>
        <w:tblStyle w:val="TableGrid"/>
        <w:tblW w:w="10206" w:type="dxa"/>
        <w:tblInd w:w="-572" w:type="dxa"/>
        <w:tblLayout w:type="fixed"/>
        <w:tblLook w:val="04A0" w:firstRow="1" w:lastRow="0" w:firstColumn="1" w:lastColumn="0" w:noHBand="0" w:noVBand="1"/>
      </w:tblPr>
      <w:tblGrid>
        <w:gridCol w:w="1418"/>
        <w:gridCol w:w="992"/>
        <w:gridCol w:w="1418"/>
        <w:gridCol w:w="1417"/>
        <w:gridCol w:w="851"/>
        <w:gridCol w:w="1701"/>
        <w:gridCol w:w="2409"/>
      </w:tblGrid>
      <w:tr w:rsidR="00806B03" w:rsidTr="00CA42BF">
        <w:tc>
          <w:tcPr>
            <w:tcW w:w="1418" w:type="dxa"/>
          </w:tcPr>
          <w:p w:rsidR="009774CD" w:rsidRPr="00B36E27" w:rsidRDefault="009774CD" w:rsidP="009774CD">
            <w:pPr>
              <w:rPr>
                <w:rFonts w:ascii="Arial" w:hAnsi="Arial" w:cs="Arial"/>
                <w:b/>
              </w:rPr>
            </w:pPr>
            <w:r>
              <w:rPr>
                <w:rFonts w:ascii="Arial" w:hAnsi="Arial" w:cs="Arial"/>
                <w:b/>
              </w:rPr>
              <w:t>Registered Provider</w:t>
            </w:r>
          </w:p>
        </w:tc>
        <w:tc>
          <w:tcPr>
            <w:tcW w:w="992" w:type="dxa"/>
          </w:tcPr>
          <w:p w:rsidR="009774CD" w:rsidRPr="00B36E27" w:rsidRDefault="009774CD" w:rsidP="009774CD">
            <w:pPr>
              <w:rPr>
                <w:rFonts w:ascii="Arial" w:hAnsi="Arial" w:cs="Arial"/>
                <w:b/>
              </w:rPr>
            </w:pPr>
            <w:r>
              <w:rPr>
                <w:rFonts w:ascii="Arial" w:hAnsi="Arial" w:cs="Arial"/>
                <w:b/>
              </w:rPr>
              <w:t>Social Rent</w:t>
            </w:r>
          </w:p>
        </w:tc>
        <w:tc>
          <w:tcPr>
            <w:tcW w:w="1418" w:type="dxa"/>
          </w:tcPr>
          <w:p w:rsidR="009774CD" w:rsidRPr="00B36E27" w:rsidRDefault="009774CD" w:rsidP="009774CD">
            <w:pPr>
              <w:rPr>
                <w:rFonts w:ascii="Arial" w:hAnsi="Arial" w:cs="Arial"/>
                <w:b/>
              </w:rPr>
            </w:pPr>
            <w:r>
              <w:rPr>
                <w:rFonts w:ascii="Arial" w:hAnsi="Arial" w:cs="Arial"/>
                <w:b/>
              </w:rPr>
              <w:t>Affordable Rent</w:t>
            </w:r>
          </w:p>
        </w:tc>
        <w:tc>
          <w:tcPr>
            <w:tcW w:w="1417" w:type="dxa"/>
          </w:tcPr>
          <w:p w:rsidR="009774CD" w:rsidRPr="00B36E27" w:rsidRDefault="009774CD" w:rsidP="009774CD">
            <w:pPr>
              <w:rPr>
                <w:rFonts w:ascii="Arial" w:hAnsi="Arial" w:cs="Arial"/>
                <w:b/>
              </w:rPr>
            </w:pPr>
            <w:r>
              <w:rPr>
                <w:rFonts w:ascii="Arial" w:hAnsi="Arial" w:cs="Arial"/>
                <w:b/>
              </w:rPr>
              <w:t>Shared Ownership</w:t>
            </w:r>
          </w:p>
        </w:tc>
        <w:tc>
          <w:tcPr>
            <w:tcW w:w="851" w:type="dxa"/>
          </w:tcPr>
          <w:p w:rsidR="009774CD" w:rsidRPr="00B36E27" w:rsidRDefault="009774CD" w:rsidP="009774CD">
            <w:pPr>
              <w:rPr>
                <w:rFonts w:ascii="Arial" w:hAnsi="Arial" w:cs="Arial"/>
                <w:b/>
              </w:rPr>
            </w:pPr>
            <w:r>
              <w:rPr>
                <w:rFonts w:ascii="Arial" w:hAnsi="Arial" w:cs="Arial"/>
                <w:b/>
              </w:rPr>
              <w:t>Total</w:t>
            </w:r>
          </w:p>
        </w:tc>
        <w:tc>
          <w:tcPr>
            <w:tcW w:w="1701" w:type="dxa"/>
          </w:tcPr>
          <w:p w:rsidR="009774CD" w:rsidRDefault="009774CD" w:rsidP="009774CD">
            <w:pPr>
              <w:rPr>
                <w:rFonts w:ascii="Arial" w:hAnsi="Arial" w:cs="Arial"/>
                <w:b/>
              </w:rPr>
            </w:pPr>
            <w:r>
              <w:rPr>
                <w:rFonts w:ascii="Arial" w:hAnsi="Arial" w:cs="Arial"/>
                <w:b/>
              </w:rPr>
              <w:t>RSH Designation and Corporate Form</w:t>
            </w:r>
          </w:p>
        </w:tc>
        <w:tc>
          <w:tcPr>
            <w:tcW w:w="2409" w:type="dxa"/>
          </w:tcPr>
          <w:p w:rsidR="009774CD" w:rsidRPr="009206E5" w:rsidRDefault="009774CD" w:rsidP="009774CD">
            <w:pPr>
              <w:rPr>
                <w:rFonts w:ascii="Arial" w:hAnsi="Arial" w:cs="Arial"/>
                <w:b/>
              </w:rPr>
            </w:pPr>
            <w:r>
              <w:rPr>
                <w:rFonts w:ascii="Arial" w:hAnsi="Arial" w:cs="Arial"/>
                <w:b/>
              </w:rPr>
              <w:t>Organisation Size</w:t>
            </w:r>
          </w:p>
        </w:tc>
      </w:tr>
      <w:tr w:rsidR="00806B03" w:rsidTr="00CA42BF">
        <w:tc>
          <w:tcPr>
            <w:tcW w:w="1418" w:type="dxa"/>
          </w:tcPr>
          <w:p w:rsidR="009774CD" w:rsidRDefault="009774CD" w:rsidP="009774CD">
            <w:pPr>
              <w:rPr>
                <w:rFonts w:ascii="Arial" w:hAnsi="Arial" w:cs="Arial"/>
              </w:rPr>
            </w:pPr>
            <w:r>
              <w:rPr>
                <w:rFonts w:ascii="Arial" w:hAnsi="Arial" w:cs="Arial"/>
              </w:rPr>
              <w:t>Accent Housing</w:t>
            </w:r>
          </w:p>
        </w:tc>
        <w:tc>
          <w:tcPr>
            <w:tcW w:w="992" w:type="dxa"/>
          </w:tcPr>
          <w:p w:rsidR="009774CD" w:rsidRDefault="00400F0C" w:rsidP="009774CD">
            <w:pPr>
              <w:rPr>
                <w:rFonts w:ascii="Arial" w:hAnsi="Arial" w:cs="Arial"/>
              </w:rPr>
            </w:pPr>
            <w:r>
              <w:rPr>
                <w:rFonts w:ascii="Arial" w:hAnsi="Arial" w:cs="Arial"/>
              </w:rPr>
              <w:t>642</w:t>
            </w:r>
          </w:p>
        </w:tc>
        <w:tc>
          <w:tcPr>
            <w:tcW w:w="1418" w:type="dxa"/>
          </w:tcPr>
          <w:p w:rsidR="009774CD" w:rsidRDefault="0003465A" w:rsidP="009774CD">
            <w:pPr>
              <w:rPr>
                <w:rFonts w:ascii="Arial" w:hAnsi="Arial" w:cs="Arial"/>
              </w:rPr>
            </w:pPr>
            <w:r>
              <w:rPr>
                <w:rFonts w:ascii="Arial" w:hAnsi="Arial" w:cs="Arial"/>
              </w:rPr>
              <w:t>6</w:t>
            </w:r>
          </w:p>
        </w:tc>
        <w:tc>
          <w:tcPr>
            <w:tcW w:w="1417" w:type="dxa"/>
          </w:tcPr>
          <w:p w:rsidR="009774CD" w:rsidRDefault="0003465A" w:rsidP="009774CD">
            <w:pPr>
              <w:rPr>
                <w:rFonts w:ascii="Arial" w:hAnsi="Arial" w:cs="Arial"/>
              </w:rPr>
            </w:pPr>
            <w:r>
              <w:rPr>
                <w:rFonts w:ascii="Arial" w:hAnsi="Arial" w:cs="Arial"/>
              </w:rPr>
              <w:t>3</w:t>
            </w:r>
          </w:p>
        </w:tc>
        <w:tc>
          <w:tcPr>
            <w:tcW w:w="851" w:type="dxa"/>
          </w:tcPr>
          <w:p w:rsidR="009774CD" w:rsidRDefault="0003465A" w:rsidP="009774CD">
            <w:pPr>
              <w:rPr>
                <w:rFonts w:ascii="Arial" w:hAnsi="Arial" w:cs="Arial"/>
              </w:rPr>
            </w:pPr>
            <w:r w:rsidRPr="0003465A">
              <w:rPr>
                <w:rFonts w:ascii="Arial" w:hAnsi="Arial" w:cs="Arial"/>
              </w:rPr>
              <w:t>651</w:t>
            </w:r>
          </w:p>
        </w:tc>
        <w:tc>
          <w:tcPr>
            <w:tcW w:w="1701" w:type="dxa"/>
          </w:tcPr>
          <w:p w:rsidR="009774CD" w:rsidRDefault="009774CD" w:rsidP="009774CD">
            <w:pPr>
              <w:rPr>
                <w:rFonts w:ascii="Arial" w:hAnsi="Arial" w:cs="Arial"/>
              </w:rPr>
            </w:pPr>
            <w:r>
              <w:rPr>
                <w:rFonts w:ascii="Arial" w:hAnsi="Arial" w:cs="Arial"/>
              </w:rPr>
              <w:t>Non-profit / Registered society</w:t>
            </w:r>
          </w:p>
        </w:tc>
        <w:tc>
          <w:tcPr>
            <w:tcW w:w="2409" w:type="dxa"/>
          </w:tcPr>
          <w:p w:rsidR="009774CD" w:rsidRDefault="009774CD" w:rsidP="009774CD">
            <w:pPr>
              <w:rPr>
                <w:rFonts w:ascii="Arial" w:hAnsi="Arial" w:cs="Arial"/>
              </w:rPr>
            </w:pPr>
            <w:r>
              <w:rPr>
                <w:rFonts w:ascii="Arial" w:hAnsi="Arial" w:cs="Arial"/>
              </w:rPr>
              <w:t>20,</w:t>
            </w:r>
            <w:r w:rsidR="001E78B1">
              <w:rPr>
                <w:rFonts w:ascii="Arial" w:hAnsi="Arial" w:cs="Arial"/>
              </w:rPr>
              <w:t>623</w:t>
            </w:r>
            <w:r>
              <w:rPr>
                <w:rFonts w:ascii="Arial" w:hAnsi="Arial" w:cs="Arial"/>
              </w:rPr>
              <w:t xml:space="preserve"> homes across the North, East and South of England</w:t>
            </w:r>
          </w:p>
        </w:tc>
      </w:tr>
      <w:tr w:rsidR="00806B03" w:rsidTr="00CA42BF">
        <w:tc>
          <w:tcPr>
            <w:tcW w:w="1418" w:type="dxa"/>
          </w:tcPr>
          <w:p w:rsidR="009774CD" w:rsidRDefault="009774CD" w:rsidP="009774CD">
            <w:pPr>
              <w:rPr>
                <w:rFonts w:ascii="Arial" w:hAnsi="Arial" w:cs="Arial"/>
              </w:rPr>
            </w:pPr>
            <w:r>
              <w:rPr>
                <w:rFonts w:ascii="Arial" w:hAnsi="Arial" w:cs="Arial"/>
              </w:rPr>
              <w:t>Chorley Community Housing</w:t>
            </w:r>
          </w:p>
        </w:tc>
        <w:tc>
          <w:tcPr>
            <w:tcW w:w="992" w:type="dxa"/>
          </w:tcPr>
          <w:p w:rsidR="009774CD" w:rsidRDefault="009774CD" w:rsidP="009774CD">
            <w:pPr>
              <w:rPr>
                <w:rFonts w:ascii="Arial" w:hAnsi="Arial" w:cs="Arial"/>
              </w:rPr>
            </w:pPr>
            <w:r>
              <w:rPr>
                <w:rFonts w:ascii="Arial" w:hAnsi="Arial" w:cs="Arial"/>
              </w:rPr>
              <w:t>0</w:t>
            </w:r>
          </w:p>
        </w:tc>
        <w:tc>
          <w:tcPr>
            <w:tcW w:w="1418" w:type="dxa"/>
          </w:tcPr>
          <w:p w:rsidR="009774CD" w:rsidRDefault="009774CD" w:rsidP="009774CD">
            <w:pPr>
              <w:rPr>
                <w:rFonts w:ascii="Arial" w:hAnsi="Arial" w:cs="Arial"/>
              </w:rPr>
            </w:pPr>
            <w:r>
              <w:rPr>
                <w:rFonts w:ascii="Arial" w:hAnsi="Arial" w:cs="Arial"/>
              </w:rPr>
              <w:t>35</w:t>
            </w:r>
          </w:p>
        </w:tc>
        <w:tc>
          <w:tcPr>
            <w:tcW w:w="1417" w:type="dxa"/>
          </w:tcPr>
          <w:p w:rsidR="009774CD" w:rsidRDefault="009774CD" w:rsidP="009774CD">
            <w:pPr>
              <w:rPr>
                <w:rFonts w:ascii="Arial" w:hAnsi="Arial" w:cs="Arial"/>
              </w:rPr>
            </w:pPr>
            <w:r>
              <w:rPr>
                <w:rFonts w:ascii="Arial" w:hAnsi="Arial" w:cs="Arial"/>
              </w:rPr>
              <w:t>23 (5)</w:t>
            </w:r>
          </w:p>
        </w:tc>
        <w:tc>
          <w:tcPr>
            <w:tcW w:w="851" w:type="dxa"/>
          </w:tcPr>
          <w:p w:rsidR="009774CD" w:rsidRDefault="009774CD" w:rsidP="009774CD">
            <w:pPr>
              <w:rPr>
                <w:rFonts w:ascii="Arial" w:hAnsi="Arial" w:cs="Arial"/>
              </w:rPr>
            </w:pPr>
            <w:r>
              <w:rPr>
                <w:rFonts w:ascii="Arial" w:hAnsi="Arial" w:cs="Arial"/>
              </w:rPr>
              <w:t>58 (5)</w:t>
            </w:r>
          </w:p>
        </w:tc>
        <w:tc>
          <w:tcPr>
            <w:tcW w:w="1701" w:type="dxa"/>
          </w:tcPr>
          <w:p w:rsidR="009774CD" w:rsidRDefault="009774CD" w:rsidP="009774CD">
            <w:pPr>
              <w:rPr>
                <w:rFonts w:ascii="Arial" w:hAnsi="Arial" w:cs="Arial"/>
              </w:rPr>
            </w:pPr>
            <w:r>
              <w:rPr>
                <w:rFonts w:ascii="Arial" w:hAnsi="Arial" w:cs="Arial"/>
              </w:rPr>
              <w:t>Non-profit / Registered society</w:t>
            </w:r>
          </w:p>
        </w:tc>
        <w:tc>
          <w:tcPr>
            <w:tcW w:w="2409" w:type="dxa"/>
          </w:tcPr>
          <w:p w:rsidR="009774CD" w:rsidRDefault="00137113" w:rsidP="009774CD">
            <w:pPr>
              <w:rPr>
                <w:rFonts w:ascii="Arial" w:hAnsi="Arial" w:cs="Arial"/>
              </w:rPr>
            </w:pPr>
            <w:r>
              <w:rPr>
                <w:rFonts w:ascii="Arial" w:hAnsi="Arial" w:cs="Arial"/>
              </w:rPr>
              <w:t>2,200 homes across Lancashire and Sefton. Wider group manage more than 34,000 homes across the North West and East Midlands</w:t>
            </w:r>
          </w:p>
        </w:tc>
      </w:tr>
      <w:tr w:rsidR="00806B03" w:rsidTr="00CA42BF">
        <w:tc>
          <w:tcPr>
            <w:tcW w:w="1418" w:type="dxa"/>
          </w:tcPr>
          <w:p w:rsidR="009774CD" w:rsidRDefault="009774CD" w:rsidP="009774CD">
            <w:pPr>
              <w:rPr>
                <w:rFonts w:ascii="Arial" w:hAnsi="Arial" w:cs="Arial"/>
              </w:rPr>
            </w:pPr>
            <w:r>
              <w:rPr>
                <w:rFonts w:ascii="Arial" w:hAnsi="Arial" w:cs="Arial"/>
              </w:rPr>
              <w:t>Community Gateway Association</w:t>
            </w:r>
          </w:p>
        </w:tc>
        <w:tc>
          <w:tcPr>
            <w:tcW w:w="992" w:type="dxa"/>
          </w:tcPr>
          <w:p w:rsidR="009774CD" w:rsidRDefault="009774CD" w:rsidP="009774CD">
            <w:pPr>
              <w:rPr>
                <w:rFonts w:ascii="Arial" w:hAnsi="Arial" w:cs="Arial"/>
              </w:rPr>
            </w:pPr>
            <w:r>
              <w:rPr>
                <w:rFonts w:ascii="Arial" w:hAnsi="Arial" w:cs="Arial"/>
              </w:rPr>
              <w:t>0</w:t>
            </w:r>
          </w:p>
        </w:tc>
        <w:tc>
          <w:tcPr>
            <w:tcW w:w="1418" w:type="dxa"/>
          </w:tcPr>
          <w:p w:rsidR="009774CD" w:rsidRDefault="009774CD" w:rsidP="009774CD">
            <w:pPr>
              <w:rPr>
                <w:rFonts w:ascii="Arial" w:hAnsi="Arial" w:cs="Arial"/>
              </w:rPr>
            </w:pPr>
            <w:r>
              <w:rPr>
                <w:rFonts w:ascii="Arial" w:hAnsi="Arial" w:cs="Arial"/>
              </w:rPr>
              <w:t>8</w:t>
            </w:r>
          </w:p>
        </w:tc>
        <w:tc>
          <w:tcPr>
            <w:tcW w:w="1417" w:type="dxa"/>
          </w:tcPr>
          <w:p w:rsidR="009774CD" w:rsidRDefault="009774CD" w:rsidP="009774CD">
            <w:pPr>
              <w:rPr>
                <w:rFonts w:ascii="Arial" w:hAnsi="Arial" w:cs="Arial"/>
              </w:rPr>
            </w:pPr>
            <w:r>
              <w:rPr>
                <w:rFonts w:ascii="Arial" w:hAnsi="Arial" w:cs="Arial"/>
              </w:rPr>
              <w:t>0</w:t>
            </w:r>
          </w:p>
        </w:tc>
        <w:tc>
          <w:tcPr>
            <w:tcW w:w="851" w:type="dxa"/>
          </w:tcPr>
          <w:p w:rsidR="009774CD" w:rsidRDefault="00937D25" w:rsidP="009774CD">
            <w:pPr>
              <w:rPr>
                <w:rFonts w:ascii="Arial" w:hAnsi="Arial" w:cs="Arial"/>
              </w:rPr>
            </w:pPr>
            <w:r>
              <w:rPr>
                <w:rFonts w:ascii="Arial" w:hAnsi="Arial" w:cs="Arial"/>
              </w:rPr>
              <w:t>9</w:t>
            </w:r>
          </w:p>
        </w:tc>
        <w:tc>
          <w:tcPr>
            <w:tcW w:w="1701" w:type="dxa"/>
          </w:tcPr>
          <w:p w:rsidR="009774CD" w:rsidRDefault="009774CD" w:rsidP="009774CD">
            <w:pPr>
              <w:rPr>
                <w:rFonts w:ascii="Arial" w:hAnsi="Arial" w:cs="Arial"/>
              </w:rPr>
            </w:pPr>
            <w:r>
              <w:rPr>
                <w:rFonts w:ascii="Arial" w:hAnsi="Arial" w:cs="Arial"/>
              </w:rPr>
              <w:t>Non-profit / Registered society</w:t>
            </w:r>
          </w:p>
        </w:tc>
        <w:tc>
          <w:tcPr>
            <w:tcW w:w="2409" w:type="dxa"/>
          </w:tcPr>
          <w:p w:rsidR="009774CD" w:rsidRDefault="009774CD" w:rsidP="009774CD">
            <w:pPr>
              <w:rPr>
                <w:rFonts w:ascii="Arial" w:hAnsi="Arial" w:cs="Arial"/>
              </w:rPr>
            </w:pPr>
            <w:r>
              <w:rPr>
                <w:rFonts w:ascii="Arial" w:hAnsi="Arial" w:cs="Arial"/>
              </w:rPr>
              <w:t>6,632 homes</w:t>
            </w:r>
            <w:r w:rsidR="00137113">
              <w:rPr>
                <w:rFonts w:ascii="Arial" w:hAnsi="Arial" w:cs="Arial"/>
              </w:rPr>
              <w:t xml:space="preserve"> across </w:t>
            </w:r>
            <w:r w:rsidR="00CA42BF">
              <w:rPr>
                <w:rFonts w:ascii="Arial" w:hAnsi="Arial" w:cs="Arial"/>
              </w:rPr>
              <w:t>Lancashire</w:t>
            </w:r>
          </w:p>
        </w:tc>
      </w:tr>
      <w:tr w:rsidR="00806B03" w:rsidTr="00CA42BF">
        <w:tc>
          <w:tcPr>
            <w:tcW w:w="1418" w:type="dxa"/>
          </w:tcPr>
          <w:p w:rsidR="009774CD" w:rsidRDefault="009774CD" w:rsidP="009774CD">
            <w:pPr>
              <w:rPr>
                <w:rFonts w:ascii="Arial" w:hAnsi="Arial" w:cs="Arial"/>
              </w:rPr>
            </w:pPr>
            <w:r>
              <w:rPr>
                <w:rFonts w:ascii="Arial" w:hAnsi="Arial" w:cs="Arial"/>
              </w:rPr>
              <w:t>Great Places</w:t>
            </w:r>
          </w:p>
        </w:tc>
        <w:tc>
          <w:tcPr>
            <w:tcW w:w="992" w:type="dxa"/>
          </w:tcPr>
          <w:p w:rsidR="009774CD" w:rsidRDefault="001E78B1" w:rsidP="009774CD">
            <w:pPr>
              <w:rPr>
                <w:rFonts w:ascii="Arial" w:hAnsi="Arial" w:cs="Arial"/>
              </w:rPr>
            </w:pPr>
            <w:r>
              <w:rPr>
                <w:rFonts w:ascii="Arial" w:hAnsi="Arial" w:cs="Arial"/>
              </w:rPr>
              <w:t>0</w:t>
            </w:r>
          </w:p>
        </w:tc>
        <w:tc>
          <w:tcPr>
            <w:tcW w:w="1418" w:type="dxa"/>
          </w:tcPr>
          <w:p w:rsidR="009774CD" w:rsidRDefault="001E78B1" w:rsidP="009774CD">
            <w:pPr>
              <w:rPr>
                <w:rFonts w:ascii="Arial" w:hAnsi="Arial" w:cs="Arial"/>
              </w:rPr>
            </w:pPr>
            <w:r>
              <w:rPr>
                <w:rFonts w:ascii="Arial" w:hAnsi="Arial" w:cs="Arial"/>
              </w:rPr>
              <w:t>46</w:t>
            </w:r>
          </w:p>
        </w:tc>
        <w:tc>
          <w:tcPr>
            <w:tcW w:w="1417" w:type="dxa"/>
          </w:tcPr>
          <w:p w:rsidR="009774CD" w:rsidRPr="001E78B1" w:rsidRDefault="001E78B1" w:rsidP="009774CD">
            <w:pPr>
              <w:rPr>
                <w:rFonts w:ascii="Arial" w:hAnsi="Arial" w:cs="Arial"/>
              </w:rPr>
            </w:pPr>
            <w:r w:rsidRPr="001E78B1">
              <w:rPr>
                <w:rFonts w:ascii="Arial" w:hAnsi="Arial" w:cs="Arial"/>
              </w:rPr>
              <w:t>49</w:t>
            </w:r>
          </w:p>
        </w:tc>
        <w:tc>
          <w:tcPr>
            <w:tcW w:w="851" w:type="dxa"/>
          </w:tcPr>
          <w:p w:rsidR="009774CD" w:rsidRPr="001E78B1" w:rsidRDefault="001E78B1" w:rsidP="009774CD">
            <w:pPr>
              <w:rPr>
                <w:rFonts w:ascii="Arial" w:hAnsi="Arial" w:cs="Arial"/>
              </w:rPr>
            </w:pPr>
            <w:r w:rsidRPr="001E78B1">
              <w:rPr>
                <w:rFonts w:ascii="Arial" w:hAnsi="Arial" w:cs="Arial"/>
              </w:rPr>
              <w:t>95</w:t>
            </w:r>
          </w:p>
        </w:tc>
        <w:tc>
          <w:tcPr>
            <w:tcW w:w="1701" w:type="dxa"/>
          </w:tcPr>
          <w:p w:rsidR="009774CD" w:rsidRDefault="009774CD" w:rsidP="009774CD">
            <w:pPr>
              <w:rPr>
                <w:rFonts w:ascii="Arial" w:hAnsi="Arial" w:cs="Arial"/>
              </w:rPr>
            </w:pPr>
            <w:r>
              <w:rPr>
                <w:rFonts w:ascii="Arial" w:hAnsi="Arial" w:cs="Arial"/>
              </w:rPr>
              <w:t>Non-profit / Registered society</w:t>
            </w:r>
          </w:p>
        </w:tc>
        <w:tc>
          <w:tcPr>
            <w:tcW w:w="2409" w:type="dxa"/>
          </w:tcPr>
          <w:p w:rsidR="009774CD" w:rsidRDefault="00CA42BF" w:rsidP="009774CD">
            <w:pPr>
              <w:rPr>
                <w:rFonts w:ascii="Arial" w:hAnsi="Arial" w:cs="Arial"/>
              </w:rPr>
            </w:pPr>
            <w:r>
              <w:rPr>
                <w:rFonts w:ascii="Arial" w:hAnsi="Arial" w:cs="Arial"/>
              </w:rPr>
              <w:t>19,000 homes across North West and Yorkshire</w:t>
            </w:r>
            <w:r w:rsidR="009774CD">
              <w:rPr>
                <w:rFonts w:ascii="Arial" w:hAnsi="Arial" w:cs="Arial"/>
              </w:rPr>
              <w:t>.</w:t>
            </w:r>
            <w:r>
              <w:rPr>
                <w:rFonts w:ascii="Arial" w:hAnsi="Arial" w:cs="Arial"/>
              </w:rPr>
              <w:t xml:space="preserve"> Described as a p</w:t>
            </w:r>
            <w:r w:rsidR="009774CD">
              <w:rPr>
                <w:rFonts w:ascii="Arial" w:hAnsi="Arial" w:cs="Arial"/>
              </w:rPr>
              <w:t>rofit-for-purpose</w:t>
            </w:r>
            <w:r>
              <w:rPr>
                <w:rFonts w:ascii="Arial" w:hAnsi="Arial" w:cs="Arial"/>
              </w:rPr>
              <w:t xml:space="preserve"> organisation</w:t>
            </w:r>
          </w:p>
        </w:tc>
      </w:tr>
      <w:tr w:rsidR="00806B03" w:rsidTr="00CA42BF">
        <w:tc>
          <w:tcPr>
            <w:tcW w:w="1418" w:type="dxa"/>
          </w:tcPr>
          <w:p w:rsidR="009774CD" w:rsidRDefault="009774CD" w:rsidP="009774CD">
            <w:pPr>
              <w:rPr>
                <w:rFonts w:ascii="Arial" w:hAnsi="Arial" w:cs="Arial"/>
              </w:rPr>
            </w:pPr>
            <w:proofErr w:type="spellStart"/>
            <w:r>
              <w:rPr>
                <w:rFonts w:ascii="Arial" w:hAnsi="Arial" w:cs="Arial"/>
              </w:rPr>
              <w:t>Heylo</w:t>
            </w:r>
            <w:proofErr w:type="spellEnd"/>
            <w:r w:rsidR="0066306C">
              <w:rPr>
                <w:rFonts w:ascii="Arial" w:hAnsi="Arial" w:cs="Arial"/>
              </w:rPr>
              <w:t xml:space="preserve"> Housing</w:t>
            </w:r>
          </w:p>
        </w:tc>
        <w:tc>
          <w:tcPr>
            <w:tcW w:w="992" w:type="dxa"/>
          </w:tcPr>
          <w:p w:rsidR="009774CD" w:rsidRDefault="009774CD" w:rsidP="009774CD">
            <w:pPr>
              <w:rPr>
                <w:rFonts w:ascii="Arial" w:hAnsi="Arial" w:cs="Arial"/>
              </w:rPr>
            </w:pPr>
            <w:r>
              <w:rPr>
                <w:rFonts w:ascii="Arial" w:hAnsi="Arial" w:cs="Arial"/>
              </w:rPr>
              <w:t>0</w:t>
            </w:r>
          </w:p>
        </w:tc>
        <w:tc>
          <w:tcPr>
            <w:tcW w:w="1418" w:type="dxa"/>
          </w:tcPr>
          <w:p w:rsidR="009774CD" w:rsidRDefault="009774CD" w:rsidP="009774CD">
            <w:pPr>
              <w:rPr>
                <w:rFonts w:ascii="Arial" w:hAnsi="Arial" w:cs="Arial"/>
              </w:rPr>
            </w:pPr>
            <w:r>
              <w:rPr>
                <w:rFonts w:ascii="Arial" w:hAnsi="Arial" w:cs="Arial"/>
              </w:rPr>
              <w:t>0</w:t>
            </w:r>
          </w:p>
        </w:tc>
        <w:tc>
          <w:tcPr>
            <w:tcW w:w="1417" w:type="dxa"/>
          </w:tcPr>
          <w:p w:rsidR="009774CD" w:rsidRPr="00B054FF" w:rsidRDefault="009D3363" w:rsidP="009774CD">
            <w:pPr>
              <w:rPr>
                <w:rFonts w:ascii="Arial" w:hAnsi="Arial" w:cs="Arial"/>
              </w:rPr>
            </w:pPr>
            <w:r w:rsidRPr="00B054FF">
              <w:rPr>
                <w:rFonts w:ascii="Arial" w:hAnsi="Arial" w:cs="Arial"/>
              </w:rPr>
              <w:t>38</w:t>
            </w:r>
          </w:p>
        </w:tc>
        <w:tc>
          <w:tcPr>
            <w:tcW w:w="851" w:type="dxa"/>
          </w:tcPr>
          <w:p w:rsidR="009774CD" w:rsidRPr="00B054FF" w:rsidRDefault="009774CD" w:rsidP="009774CD">
            <w:pPr>
              <w:rPr>
                <w:rFonts w:ascii="Arial" w:hAnsi="Arial" w:cs="Arial"/>
              </w:rPr>
            </w:pPr>
            <w:r w:rsidRPr="00B054FF">
              <w:rPr>
                <w:rFonts w:ascii="Arial" w:hAnsi="Arial" w:cs="Arial"/>
              </w:rPr>
              <w:t>38</w:t>
            </w:r>
          </w:p>
        </w:tc>
        <w:tc>
          <w:tcPr>
            <w:tcW w:w="1701" w:type="dxa"/>
          </w:tcPr>
          <w:p w:rsidR="009774CD" w:rsidRDefault="009774CD" w:rsidP="009774CD">
            <w:pPr>
              <w:rPr>
                <w:rFonts w:ascii="Arial" w:hAnsi="Arial" w:cs="Arial"/>
              </w:rPr>
            </w:pPr>
            <w:r>
              <w:rPr>
                <w:rFonts w:ascii="Arial" w:hAnsi="Arial" w:cs="Arial"/>
              </w:rPr>
              <w:t>Profit / Company</w:t>
            </w:r>
          </w:p>
        </w:tc>
        <w:tc>
          <w:tcPr>
            <w:tcW w:w="2409" w:type="dxa"/>
          </w:tcPr>
          <w:p w:rsidR="009774CD" w:rsidRDefault="009774CD" w:rsidP="009774CD">
            <w:pPr>
              <w:rPr>
                <w:rFonts w:ascii="Arial" w:hAnsi="Arial" w:cs="Arial"/>
              </w:rPr>
            </w:pPr>
            <w:r>
              <w:rPr>
                <w:rFonts w:ascii="Arial" w:hAnsi="Arial" w:cs="Arial"/>
              </w:rPr>
              <w:t>National</w:t>
            </w:r>
            <w:r w:rsidR="00CA42BF">
              <w:rPr>
                <w:rFonts w:ascii="Arial" w:hAnsi="Arial" w:cs="Arial"/>
              </w:rPr>
              <w:t xml:space="preserve"> organisation. Provide </w:t>
            </w:r>
            <w:r>
              <w:rPr>
                <w:rFonts w:ascii="Arial" w:hAnsi="Arial" w:cs="Arial"/>
              </w:rPr>
              <w:t>Shared Ownership</w:t>
            </w:r>
            <w:r w:rsidR="00CA42BF">
              <w:rPr>
                <w:rFonts w:ascii="Arial" w:hAnsi="Arial" w:cs="Arial"/>
              </w:rPr>
              <w:t xml:space="preserve"> homes</w:t>
            </w:r>
            <w:r>
              <w:rPr>
                <w:rFonts w:ascii="Arial" w:hAnsi="Arial" w:cs="Arial"/>
              </w:rPr>
              <w:t xml:space="preserve"> only</w:t>
            </w:r>
          </w:p>
        </w:tc>
      </w:tr>
      <w:tr w:rsidR="00806B03" w:rsidTr="00CA42BF">
        <w:tc>
          <w:tcPr>
            <w:tcW w:w="1418" w:type="dxa"/>
          </w:tcPr>
          <w:p w:rsidR="009774CD" w:rsidRDefault="009774CD" w:rsidP="009774CD">
            <w:pPr>
              <w:rPr>
                <w:rFonts w:ascii="Arial" w:hAnsi="Arial" w:cs="Arial"/>
              </w:rPr>
            </w:pPr>
            <w:r>
              <w:rPr>
                <w:rFonts w:ascii="Arial" w:hAnsi="Arial" w:cs="Arial"/>
              </w:rPr>
              <w:t>Onward Homes</w:t>
            </w:r>
          </w:p>
        </w:tc>
        <w:tc>
          <w:tcPr>
            <w:tcW w:w="992" w:type="dxa"/>
          </w:tcPr>
          <w:p w:rsidR="009774CD" w:rsidRDefault="0003465A" w:rsidP="009774CD">
            <w:pPr>
              <w:rPr>
                <w:rFonts w:ascii="Arial" w:hAnsi="Arial" w:cs="Arial"/>
              </w:rPr>
            </w:pPr>
            <w:r>
              <w:rPr>
                <w:rFonts w:ascii="Arial" w:hAnsi="Arial" w:cs="Arial"/>
              </w:rPr>
              <w:t>211</w:t>
            </w:r>
          </w:p>
        </w:tc>
        <w:tc>
          <w:tcPr>
            <w:tcW w:w="1418" w:type="dxa"/>
          </w:tcPr>
          <w:p w:rsidR="009774CD" w:rsidRDefault="0003465A" w:rsidP="009774CD">
            <w:pPr>
              <w:rPr>
                <w:rFonts w:ascii="Arial" w:hAnsi="Arial" w:cs="Arial"/>
              </w:rPr>
            </w:pPr>
            <w:r>
              <w:rPr>
                <w:rFonts w:ascii="Arial" w:hAnsi="Arial" w:cs="Arial"/>
              </w:rPr>
              <w:t>39</w:t>
            </w:r>
          </w:p>
        </w:tc>
        <w:tc>
          <w:tcPr>
            <w:tcW w:w="1417" w:type="dxa"/>
          </w:tcPr>
          <w:p w:rsidR="009774CD" w:rsidRDefault="0003465A" w:rsidP="009774CD">
            <w:pPr>
              <w:rPr>
                <w:rFonts w:ascii="Arial" w:hAnsi="Arial" w:cs="Arial"/>
              </w:rPr>
            </w:pPr>
            <w:r>
              <w:rPr>
                <w:rFonts w:ascii="Arial" w:hAnsi="Arial" w:cs="Arial"/>
              </w:rPr>
              <w:t>11</w:t>
            </w:r>
          </w:p>
        </w:tc>
        <w:tc>
          <w:tcPr>
            <w:tcW w:w="851" w:type="dxa"/>
          </w:tcPr>
          <w:p w:rsidR="009774CD" w:rsidRDefault="0003465A" w:rsidP="009774CD">
            <w:pPr>
              <w:rPr>
                <w:rFonts w:ascii="Arial" w:hAnsi="Arial" w:cs="Arial"/>
              </w:rPr>
            </w:pPr>
            <w:r w:rsidRPr="0003465A">
              <w:rPr>
                <w:rFonts w:ascii="Arial" w:hAnsi="Arial" w:cs="Arial"/>
              </w:rPr>
              <w:t>261</w:t>
            </w:r>
          </w:p>
        </w:tc>
        <w:tc>
          <w:tcPr>
            <w:tcW w:w="1701" w:type="dxa"/>
          </w:tcPr>
          <w:p w:rsidR="009774CD" w:rsidRDefault="009774CD" w:rsidP="009774CD">
            <w:pPr>
              <w:rPr>
                <w:rFonts w:ascii="Arial" w:hAnsi="Arial" w:cs="Arial"/>
              </w:rPr>
            </w:pPr>
            <w:r>
              <w:rPr>
                <w:rFonts w:ascii="Arial" w:hAnsi="Arial" w:cs="Arial"/>
              </w:rPr>
              <w:t>Non-profit / Registered</w:t>
            </w:r>
          </w:p>
          <w:p w:rsidR="009774CD" w:rsidRDefault="009774CD" w:rsidP="009774CD">
            <w:pPr>
              <w:rPr>
                <w:rFonts w:ascii="Arial" w:hAnsi="Arial" w:cs="Arial"/>
              </w:rPr>
            </w:pPr>
            <w:r>
              <w:rPr>
                <w:rFonts w:ascii="Arial" w:hAnsi="Arial" w:cs="Arial"/>
              </w:rPr>
              <w:t>Society</w:t>
            </w:r>
          </w:p>
        </w:tc>
        <w:tc>
          <w:tcPr>
            <w:tcW w:w="2409" w:type="dxa"/>
          </w:tcPr>
          <w:p w:rsidR="009774CD" w:rsidRDefault="009774CD" w:rsidP="009774CD">
            <w:pPr>
              <w:rPr>
                <w:rFonts w:ascii="Arial" w:hAnsi="Arial" w:cs="Arial"/>
              </w:rPr>
            </w:pPr>
            <w:r>
              <w:rPr>
                <w:rFonts w:ascii="Arial" w:hAnsi="Arial" w:cs="Arial"/>
              </w:rPr>
              <w:t>35</w:t>
            </w:r>
            <w:r w:rsidR="00CA42BF">
              <w:rPr>
                <w:rFonts w:ascii="Arial" w:hAnsi="Arial" w:cs="Arial"/>
              </w:rPr>
              <w:t>,000</w:t>
            </w:r>
            <w:r>
              <w:rPr>
                <w:rFonts w:ascii="Arial" w:hAnsi="Arial" w:cs="Arial"/>
              </w:rPr>
              <w:t xml:space="preserve"> homes</w:t>
            </w:r>
            <w:r w:rsidR="00CA42BF">
              <w:rPr>
                <w:rFonts w:ascii="Arial" w:hAnsi="Arial" w:cs="Arial"/>
              </w:rPr>
              <w:t xml:space="preserve"> across North West</w:t>
            </w:r>
            <w:r>
              <w:rPr>
                <w:rFonts w:ascii="Arial" w:hAnsi="Arial" w:cs="Arial"/>
              </w:rPr>
              <w:t>.</w:t>
            </w:r>
            <w:r w:rsidR="00CA42BF">
              <w:rPr>
                <w:rFonts w:ascii="Arial" w:hAnsi="Arial" w:cs="Arial"/>
              </w:rPr>
              <w:t xml:space="preserve"> Formerly Contour</w:t>
            </w:r>
          </w:p>
        </w:tc>
      </w:tr>
      <w:tr w:rsidR="00806B03" w:rsidTr="00CA42BF">
        <w:tc>
          <w:tcPr>
            <w:tcW w:w="1418" w:type="dxa"/>
          </w:tcPr>
          <w:p w:rsidR="009774CD" w:rsidRDefault="009774CD" w:rsidP="009774CD">
            <w:pPr>
              <w:rPr>
                <w:rFonts w:ascii="Arial" w:hAnsi="Arial" w:cs="Arial"/>
              </w:rPr>
            </w:pPr>
            <w:r>
              <w:rPr>
                <w:rFonts w:ascii="Arial" w:hAnsi="Arial" w:cs="Arial"/>
              </w:rPr>
              <w:t>Places for People</w:t>
            </w:r>
          </w:p>
        </w:tc>
        <w:tc>
          <w:tcPr>
            <w:tcW w:w="992" w:type="dxa"/>
          </w:tcPr>
          <w:p w:rsidR="009774CD" w:rsidRDefault="009774CD" w:rsidP="009774CD">
            <w:pPr>
              <w:rPr>
                <w:rFonts w:ascii="Arial" w:hAnsi="Arial" w:cs="Arial"/>
              </w:rPr>
            </w:pPr>
            <w:r>
              <w:rPr>
                <w:rFonts w:ascii="Arial" w:hAnsi="Arial" w:cs="Arial"/>
              </w:rPr>
              <w:t>63</w:t>
            </w:r>
          </w:p>
        </w:tc>
        <w:tc>
          <w:tcPr>
            <w:tcW w:w="1418" w:type="dxa"/>
          </w:tcPr>
          <w:p w:rsidR="009774CD" w:rsidRDefault="009774CD" w:rsidP="009774CD">
            <w:pPr>
              <w:rPr>
                <w:rFonts w:ascii="Arial" w:hAnsi="Arial" w:cs="Arial"/>
              </w:rPr>
            </w:pPr>
            <w:r>
              <w:rPr>
                <w:rFonts w:ascii="Arial" w:hAnsi="Arial" w:cs="Arial"/>
              </w:rPr>
              <w:t>18</w:t>
            </w:r>
          </w:p>
        </w:tc>
        <w:tc>
          <w:tcPr>
            <w:tcW w:w="1417" w:type="dxa"/>
          </w:tcPr>
          <w:p w:rsidR="009774CD" w:rsidRDefault="009774CD" w:rsidP="009774CD">
            <w:pPr>
              <w:rPr>
                <w:rFonts w:ascii="Arial" w:hAnsi="Arial" w:cs="Arial"/>
              </w:rPr>
            </w:pPr>
            <w:r>
              <w:rPr>
                <w:rFonts w:ascii="Arial" w:hAnsi="Arial" w:cs="Arial"/>
              </w:rPr>
              <w:t>65</w:t>
            </w:r>
          </w:p>
        </w:tc>
        <w:tc>
          <w:tcPr>
            <w:tcW w:w="851" w:type="dxa"/>
          </w:tcPr>
          <w:p w:rsidR="009774CD" w:rsidRDefault="009774CD" w:rsidP="009774CD">
            <w:pPr>
              <w:rPr>
                <w:rFonts w:ascii="Arial" w:hAnsi="Arial" w:cs="Arial"/>
              </w:rPr>
            </w:pPr>
            <w:r>
              <w:rPr>
                <w:rFonts w:ascii="Arial" w:hAnsi="Arial" w:cs="Arial"/>
              </w:rPr>
              <w:t>146</w:t>
            </w:r>
          </w:p>
        </w:tc>
        <w:tc>
          <w:tcPr>
            <w:tcW w:w="1701" w:type="dxa"/>
          </w:tcPr>
          <w:p w:rsidR="009774CD" w:rsidRDefault="009774CD" w:rsidP="009774CD">
            <w:pPr>
              <w:rPr>
                <w:rFonts w:ascii="Arial" w:hAnsi="Arial" w:cs="Arial"/>
              </w:rPr>
            </w:pPr>
            <w:r>
              <w:rPr>
                <w:rFonts w:ascii="Arial" w:hAnsi="Arial" w:cs="Arial"/>
              </w:rPr>
              <w:t>Non-profit / Registered society</w:t>
            </w:r>
          </w:p>
        </w:tc>
        <w:tc>
          <w:tcPr>
            <w:tcW w:w="2409" w:type="dxa"/>
          </w:tcPr>
          <w:p w:rsidR="009774CD" w:rsidRDefault="009774CD" w:rsidP="009774CD">
            <w:pPr>
              <w:rPr>
                <w:rFonts w:ascii="Arial" w:hAnsi="Arial" w:cs="Arial"/>
              </w:rPr>
            </w:pPr>
            <w:r>
              <w:rPr>
                <w:rFonts w:ascii="Arial" w:hAnsi="Arial" w:cs="Arial"/>
              </w:rPr>
              <w:t>Circa.200,000 homes across the UK</w:t>
            </w:r>
          </w:p>
        </w:tc>
      </w:tr>
      <w:tr w:rsidR="00806B03" w:rsidTr="00CA42BF">
        <w:tc>
          <w:tcPr>
            <w:tcW w:w="1418" w:type="dxa"/>
          </w:tcPr>
          <w:p w:rsidR="009774CD" w:rsidRDefault="009774CD" w:rsidP="009774CD">
            <w:pPr>
              <w:rPr>
                <w:rFonts w:ascii="Arial" w:hAnsi="Arial" w:cs="Arial"/>
              </w:rPr>
            </w:pPr>
            <w:r>
              <w:rPr>
                <w:rFonts w:ascii="Arial" w:hAnsi="Arial" w:cs="Arial"/>
              </w:rPr>
              <w:t>Progress Housing Group</w:t>
            </w:r>
          </w:p>
        </w:tc>
        <w:tc>
          <w:tcPr>
            <w:tcW w:w="992" w:type="dxa"/>
          </w:tcPr>
          <w:p w:rsidR="009774CD" w:rsidRDefault="009774CD" w:rsidP="009774CD">
            <w:pPr>
              <w:rPr>
                <w:rFonts w:ascii="Arial" w:hAnsi="Arial" w:cs="Arial"/>
              </w:rPr>
            </w:pPr>
            <w:r w:rsidRPr="00EF0230">
              <w:rPr>
                <w:rFonts w:ascii="Arial" w:hAnsi="Arial" w:cs="Arial"/>
              </w:rPr>
              <w:t>3,494</w:t>
            </w:r>
          </w:p>
        </w:tc>
        <w:tc>
          <w:tcPr>
            <w:tcW w:w="1418" w:type="dxa"/>
          </w:tcPr>
          <w:p w:rsidR="009774CD" w:rsidRDefault="009774CD" w:rsidP="009774CD">
            <w:pPr>
              <w:rPr>
                <w:rFonts w:ascii="Arial" w:hAnsi="Arial" w:cs="Arial"/>
              </w:rPr>
            </w:pPr>
            <w:r>
              <w:rPr>
                <w:rFonts w:ascii="Arial" w:hAnsi="Arial" w:cs="Arial"/>
              </w:rPr>
              <w:t>210</w:t>
            </w:r>
          </w:p>
        </w:tc>
        <w:tc>
          <w:tcPr>
            <w:tcW w:w="1417" w:type="dxa"/>
          </w:tcPr>
          <w:p w:rsidR="009774CD" w:rsidRDefault="009774CD" w:rsidP="009774CD">
            <w:pPr>
              <w:rPr>
                <w:rFonts w:ascii="Arial" w:hAnsi="Arial" w:cs="Arial"/>
              </w:rPr>
            </w:pPr>
            <w:r>
              <w:rPr>
                <w:rFonts w:ascii="Arial" w:hAnsi="Arial" w:cs="Arial"/>
              </w:rPr>
              <w:t>74</w:t>
            </w:r>
          </w:p>
        </w:tc>
        <w:tc>
          <w:tcPr>
            <w:tcW w:w="851" w:type="dxa"/>
          </w:tcPr>
          <w:p w:rsidR="009774CD" w:rsidRDefault="009774CD" w:rsidP="009774CD">
            <w:pPr>
              <w:rPr>
                <w:rFonts w:ascii="Arial" w:hAnsi="Arial" w:cs="Arial"/>
              </w:rPr>
            </w:pPr>
            <w:r>
              <w:rPr>
                <w:rFonts w:ascii="Arial" w:hAnsi="Arial" w:cs="Arial"/>
              </w:rPr>
              <w:t>3,778</w:t>
            </w:r>
          </w:p>
        </w:tc>
        <w:tc>
          <w:tcPr>
            <w:tcW w:w="1701" w:type="dxa"/>
          </w:tcPr>
          <w:p w:rsidR="009774CD" w:rsidRDefault="009774CD" w:rsidP="009774CD">
            <w:pPr>
              <w:rPr>
                <w:rFonts w:ascii="Arial" w:hAnsi="Arial" w:cs="Arial"/>
              </w:rPr>
            </w:pPr>
            <w:r>
              <w:rPr>
                <w:rFonts w:ascii="Arial" w:hAnsi="Arial" w:cs="Arial"/>
              </w:rPr>
              <w:t>Non-profit / Registered society</w:t>
            </w:r>
          </w:p>
        </w:tc>
        <w:tc>
          <w:tcPr>
            <w:tcW w:w="2409" w:type="dxa"/>
          </w:tcPr>
          <w:p w:rsidR="009774CD" w:rsidRDefault="009774CD" w:rsidP="009774CD">
            <w:pPr>
              <w:rPr>
                <w:rFonts w:ascii="Arial" w:hAnsi="Arial" w:cs="Arial"/>
              </w:rPr>
            </w:pPr>
            <w:r>
              <w:rPr>
                <w:rFonts w:ascii="Arial" w:hAnsi="Arial" w:cs="Arial"/>
              </w:rPr>
              <w:t>11,000 homes in England and Scotland</w:t>
            </w:r>
          </w:p>
        </w:tc>
      </w:tr>
      <w:tr w:rsidR="00806B03" w:rsidTr="00CA42BF">
        <w:tc>
          <w:tcPr>
            <w:tcW w:w="1418" w:type="dxa"/>
          </w:tcPr>
          <w:p w:rsidR="009774CD" w:rsidRDefault="009774CD" w:rsidP="009774CD">
            <w:pPr>
              <w:rPr>
                <w:rFonts w:ascii="Arial" w:hAnsi="Arial" w:cs="Arial"/>
              </w:rPr>
            </w:pPr>
            <w:bookmarkStart w:id="1" w:name="_Hlk33108805"/>
            <w:r>
              <w:rPr>
                <w:rFonts w:ascii="Arial" w:hAnsi="Arial" w:cs="Arial"/>
              </w:rPr>
              <w:t>Together Housing Group</w:t>
            </w:r>
          </w:p>
        </w:tc>
        <w:tc>
          <w:tcPr>
            <w:tcW w:w="992" w:type="dxa"/>
          </w:tcPr>
          <w:p w:rsidR="009774CD" w:rsidRPr="00EF0230" w:rsidRDefault="009774CD" w:rsidP="009774CD">
            <w:pPr>
              <w:rPr>
                <w:rFonts w:ascii="Arial" w:hAnsi="Arial" w:cs="Arial"/>
              </w:rPr>
            </w:pPr>
            <w:r>
              <w:rPr>
                <w:rFonts w:ascii="Arial" w:hAnsi="Arial" w:cs="Arial"/>
              </w:rPr>
              <w:t>0</w:t>
            </w:r>
          </w:p>
        </w:tc>
        <w:tc>
          <w:tcPr>
            <w:tcW w:w="1418" w:type="dxa"/>
          </w:tcPr>
          <w:p w:rsidR="009774CD" w:rsidRDefault="009774CD" w:rsidP="009774CD">
            <w:pPr>
              <w:rPr>
                <w:rFonts w:ascii="Arial" w:hAnsi="Arial" w:cs="Arial"/>
              </w:rPr>
            </w:pPr>
            <w:r>
              <w:rPr>
                <w:rFonts w:ascii="Arial" w:hAnsi="Arial" w:cs="Arial"/>
              </w:rPr>
              <w:t>9 (33)</w:t>
            </w:r>
          </w:p>
        </w:tc>
        <w:tc>
          <w:tcPr>
            <w:tcW w:w="1417" w:type="dxa"/>
          </w:tcPr>
          <w:p w:rsidR="009774CD" w:rsidRDefault="009774CD" w:rsidP="009774CD">
            <w:pPr>
              <w:rPr>
                <w:rFonts w:ascii="Arial" w:hAnsi="Arial" w:cs="Arial"/>
              </w:rPr>
            </w:pPr>
            <w:r>
              <w:rPr>
                <w:rFonts w:ascii="Arial" w:hAnsi="Arial" w:cs="Arial"/>
              </w:rPr>
              <w:t>(18)</w:t>
            </w:r>
          </w:p>
        </w:tc>
        <w:tc>
          <w:tcPr>
            <w:tcW w:w="851" w:type="dxa"/>
          </w:tcPr>
          <w:p w:rsidR="009774CD" w:rsidRDefault="009774CD" w:rsidP="009774CD">
            <w:pPr>
              <w:rPr>
                <w:rFonts w:ascii="Arial" w:hAnsi="Arial" w:cs="Arial"/>
              </w:rPr>
            </w:pPr>
            <w:r>
              <w:rPr>
                <w:rFonts w:ascii="Arial" w:hAnsi="Arial" w:cs="Arial"/>
              </w:rPr>
              <w:t>9 (51)</w:t>
            </w:r>
          </w:p>
        </w:tc>
        <w:tc>
          <w:tcPr>
            <w:tcW w:w="1701" w:type="dxa"/>
          </w:tcPr>
          <w:p w:rsidR="009774CD" w:rsidRDefault="009774CD" w:rsidP="009774CD">
            <w:pPr>
              <w:rPr>
                <w:rFonts w:ascii="Arial" w:hAnsi="Arial" w:cs="Arial"/>
              </w:rPr>
            </w:pPr>
            <w:r>
              <w:rPr>
                <w:rFonts w:ascii="Arial" w:hAnsi="Arial" w:cs="Arial"/>
              </w:rPr>
              <w:t>Non-profit / Registered society</w:t>
            </w:r>
          </w:p>
        </w:tc>
        <w:tc>
          <w:tcPr>
            <w:tcW w:w="2409" w:type="dxa"/>
          </w:tcPr>
          <w:p w:rsidR="009774CD" w:rsidRDefault="00CA42BF" w:rsidP="009774CD">
            <w:pPr>
              <w:rPr>
                <w:rFonts w:ascii="Arial" w:hAnsi="Arial" w:cs="Arial"/>
              </w:rPr>
            </w:pPr>
            <w:r>
              <w:rPr>
                <w:rFonts w:ascii="Arial" w:hAnsi="Arial" w:cs="Arial"/>
              </w:rPr>
              <w:t xml:space="preserve">Over </w:t>
            </w:r>
            <w:r w:rsidR="009774CD">
              <w:rPr>
                <w:rFonts w:ascii="Arial" w:hAnsi="Arial" w:cs="Arial"/>
              </w:rPr>
              <w:t>36,000 homes across Yorkshire and Lancashire</w:t>
            </w:r>
          </w:p>
        </w:tc>
      </w:tr>
      <w:bookmarkEnd w:id="1"/>
      <w:tr w:rsidR="00806B03" w:rsidTr="00CA42BF">
        <w:tc>
          <w:tcPr>
            <w:tcW w:w="1418" w:type="dxa"/>
          </w:tcPr>
          <w:p w:rsidR="009774CD" w:rsidRDefault="009774CD" w:rsidP="009774CD">
            <w:pPr>
              <w:rPr>
                <w:rFonts w:ascii="Arial" w:hAnsi="Arial" w:cs="Arial"/>
              </w:rPr>
            </w:pPr>
            <w:r>
              <w:rPr>
                <w:rFonts w:ascii="Arial" w:hAnsi="Arial" w:cs="Arial"/>
              </w:rPr>
              <w:t>Your Housing Group</w:t>
            </w:r>
          </w:p>
        </w:tc>
        <w:tc>
          <w:tcPr>
            <w:tcW w:w="992" w:type="dxa"/>
          </w:tcPr>
          <w:p w:rsidR="009774CD" w:rsidRDefault="009774CD" w:rsidP="009774CD">
            <w:pPr>
              <w:rPr>
                <w:rFonts w:ascii="Arial" w:hAnsi="Arial" w:cs="Arial"/>
              </w:rPr>
            </w:pPr>
            <w:r>
              <w:rPr>
                <w:rFonts w:ascii="Arial" w:hAnsi="Arial" w:cs="Arial"/>
              </w:rPr>
              <w:t>187</w:t>
            </w:r>
          </w:p>
        </w:tc>
        <w:tc>
          <w:tcPr>
            <w:tcW w:w="1418" w:type="dxa"/>
          </w:tcPr>
          <w:p w:rsidR="009774CD" w:rsidRDefault="009774CD" w:rsidP="009774CD">
            <w:pPr>
              <w:rPr>
                <w:rFonts w:ascii="Arial" w:hAnsi="Arial" w:cs="Arial"/>
              </w:rPr>
            </w:pPr>
            <w:r>
              <w:rPr>
                <w:rFonts w:ascii="Arial" w:hAnsi="Arial" w:cs="Arial"/>
              </w:rPr>
              <w:t>21</w:t>
            </w:r>
          </w:p>
        </w:tc>
        <w:tc>
          <w:tcPr>
            <w:tcW w:w="1417" w:type="dxa"/>
          </w:tcPr>
          <w:p w:rsidR="009774CD" w:rsidRDefault="009774CD" w:rsidP="009774CD">
            <w:pPr>
              <w:rPr>
                <w:rFonts w:ascii="Arial" w:hAnsi="Arial" w:cs="Arial"/>
              </w:rPr>
            </w:pPr>
            <w:r>
              <w:rPr>
                <w:rFonts w:ascii="Arial" w:hAnsi="Arial" w:cs="Arial"/>
              </w:rPr>
              <w:t>5</w:t>
            </w:r>
          </w:p>
        </w:tc>
        <w:tc>
          <w:tcPr>
            <w:tcW w:w="851" w:type="dxa"/>
          </w:tcPr>
          <w:p w:rsidR="009774CD" w:rsidRDefault="009774CD" w:rsidP="009774CD">
            <w:pPr>
              <w:rPr>
                <w:rFonts w:ascii="Arial" w:hAnsi="Arial" w:cs="Arial"/>
              </w:rPr>
            </w:pPr>
            <w:r>
              <w:rPr>
                <w:rFonts w:ascii="Arial" w:hAnsi="Arial" w:cs="Arial"/>
              </w:rPr>
              <w:t>213</w:t>
            </w:r>
          </w:p>
        </w:tc>
        <w:tc>
          <w:tcPr>
            <w:tcW w:w="1701" w:type="dxa"/>
          </w:tcPr>
          <w:p w:rsidR="009774CD" w:rsidRDefault="009774CD" w:rsidP="009774CD">
            <w:pPr>
              <w:rPr>
                <w:rFonts w:ascii="Arial" w:hAnsi="Arial" w:cs="Arial"/>
              </w:rPr>
            </w:pPr>
            <w:r>
              <w:rPr>
                <w:rFonts w:ascii="Arial" w:hAnsi="Arial" w:cs="Arial"/>
              </w:rPr>
              <w:t>Profit / Company</w:t>
            </w:r>
          </w:p>
        </w:tc>
        <w:tc>
          <w:tcPr>
            <w:tcW w:w="2409" w:type="dxa"/>
          </w:tcPr>
          <w:p w:rsidR="009774CD" w:rsidRDefault="00137113" w:rsidP="009774CD">
            <w:pPr>
              <w:rPr>
                <w:rFonts w:ascii="Arial" w:hAnsi="Arial" w:cs="Arial"/>
              </w:rPr>
            </w:pPr>
            <w:r>
              <w:rPr>
                <w:rFonts w:ascii="Arial" w:hAnsi="Arial" w:cs="Arial"/>
              </w:rPr>
              <w:t>28,000 homes across North West, Yorkshire and Midlands</w:t>
            </w:r>
          </w:p>
        </w:tc>
      </w:tr>
      <w:tr w:rsidR="00806B03" w:rsidTr="00CA42BF">
        <w:tc>
          <w:tcPr>
            <w:tcW w:w="1418" w:type="dxa"/>
          </w:tcPr>
          <w:p w:rsidR="009774CD" w:rsidRPr="00B36E27" w:rsidRDefault="009774CD" w:rsidP="009774CD">
            <w:pPr>
              <w:rPr>
                <w:rFonts w:ascii="Arial" w:hAnsi="Arial" w:cs="Arial"/>
                <w:b/>
                <w:i/>
              </w:rPr>
            </w:pPr>
            <w:r>
              <w:rPr>
                <w:rFonts w:ascii="Arial" w:hAnsi="Arial" w:cs="Arial"/>
                <w:b/>
                <w:i/>
              </w:rPr>
              <w:t>Total</w:t>
            </w:r>
          </w:p>
        </w:tc>
        <w:tc>
          <w:tcPr>
            <w:tcW w:w="992" w:type="dxa"/>
          </w:tcPr>
          <w:p w:rsidR="009774CD" w:rsidRDefault="009774CD" w:rsidP="009774CD">
            <w:pPr>
              <w:rPr>
                <w:rFonts w:ascii="Arial" w:hAnsi="Arial" w:cs="Arial"/>
              </w:rPr>
            </w:pPr>
          </w:p>
        </w:tc>
        <w:tc>
          <w:tcPr>
            <w:tcW w:w="1418" w:type="dxa"/>
          </w:tcPr>
          <w:p w:rsidR="009774CD" w:rsidRDefault="009774CD" w:rsidP="009774CD">
            <w:pPr>
              <w:rPr>
                <w:rFonts w:ascii="Arial" w:hAnsi="Arial" w:cs="Arial"/>
              </w:rPr>
            </w:pPr>
          </w:p>
        </w:tc>
        <w:tc>
          <w:tcPr>
            <w:tcW w:w="1417" w:type="dxa"/>
          </w:tcPr>
          <w:p w:rsidR="009774CD" w:rsidRDefault="009774CD" w:rsidP="009774CD">
            <w:pPr>
              <w:rPr>
                <w:rFonts w:ascii="Arial" w:hAnsi="Arial" w:cs="Arial"/>
              </w:rPr>
            </w:pPr>
          </w:p>
        </w:tc>
        <w:tc>
          <w:tcPr>
            <w:tcW w:w="851" w:type="dxa"/>
          </w:tcPr>
          <w:p w:rsidR="009774CD" w:rsidRDefault="009774CD" w:rsidP="009774CD">
            <w:pPr>
              <w:rPr>
                <w:rFonts w:ascii="Arial" w:hAnsi="Arial" w:cs="Arial"/>
              </w:rPr>
            </w:pPr>
          </w:p>
        </w:tc>
        <w:tc>
          <w:tcPr>
            <w:tcW w:w="1701" w:type="dxa"/>
          </w:tcPr>
          <w:p w:rsidR="009774CD" w:rsidRDefault="009774CD" w:rsidP="009774CD">
            <w:pPr>
              <w:rPr>
                <w:rFonts w:ascii="Arial" w:hAnsi="Arial" w:cs="Arial"/>
              </w:rPr>
            </w:pPr>
          </w:p>
        </w:tc>
        <w:tc>
          <w:tcPr>
            <w:tcW w:w="2409" w:type="dxa"/>
          </w:tcPr>
          <w:p w:rsidR="009774CD" w:rsidRDefault="009774CD" w:rsidP="009774CD">
            <w:pPr>
              <w:rPr>
                <w:rFonts w:ascii="Arial" w:hAnsi="Arial" w:cs="Arial"/>
              </w:rPr>
            </w:pPr>
          </w:p>
        </w:tc>
      </w:tr>
    </w:tbl>
    <w:p w:rsidR="00FA0BE9" w:rsidRDefault="00FA0BE9" w:rsidP="00826FB3">
      <w:pPr>
        <w:spacing w:after="0"/>
        <w:rPr>
          <w:rFonts w:ascii="Arial" w:hAnsi="Arial" w:cs="Arial"/>
        </w:rPr>
      </w:pPr>
    </w:p>
    <w:p w:rsidR="00FA0BE9" w:rsidRDefault="00B36E27" w:rsidP="00826FB3">
      <w:pPr>
        <w:spacing w:after="0"/>
        <w:rPr>
          <w:rFonts w:ascii="Arial" w:hAnsi="Arial" w:cs="Arial"/>
          <w:i/>
        </w:rPr>
      </w:pPr>
      <w:r>
        <w:rPr>
          <w:rFonts w:ascii="Arial" w:hAnsi="Arial" w:cs="Arial"/>
          <w:i/>
        </w:rPr>
        <w:t>Note: numbers in () are in the process of being built</w:t>
      </w:r>
    </w:p>
    <w:p w:rsidR="003C4057" w:rsidRDefault="003C4057" w:rsidP="00137113">
      <w:pPr>
        <w:rPr>
          <w:rFonts w:ascii="Arial" w:hAnsi="Arial" w:cs="Arial"/>
          <w:b/>
        </w:rPr>
      </w:pPr>
    </w:p>
    <w:p w:rsidR="00137113" w:rsidRPr="00826FB3" w:rsidRDefault="00137113" w:rsidP="00137113">
      <w:pPr>
        <w:rPr>
          <w:rFonts w:ascii="Arial" w:hAnsi="Arial" w:cs="Arial"/>
          <w:b/>
        </w:rPr>
      </w:pPr>
      <w:r>
        <w:rPr>
          <w:rFonts w:ascii="Arial" w:hAnsi="Arial" w:cs="Arial"/>
          <w:b/>
        </w:rPr>
        <w:lastRenderedPageBreak/>
        <w:t>Governance of Social Housing Providers</w:t>
      </w:r>
    </w:p>
    <w:p w:rsidR="00454713" w:rsidRDefault="00454713" w:rsidP="0066306C">
      <w:pPr>
        <w:rPr>
          <w:rFonts w:ascii="Arial" w:hAnsi="Arial" w:cs="Arial"/>
        </w:rPr>
      </w:pPr>
      <w:r>
        <w:rPr>
          <w:rFonts w:ascii="Arial" w:hAnsi="Arial" w:cs="Arial"/>
        </w:rPr>
        <w:t>Not-for-profit housing associations are governed by appointed boards made up of non-executive and executive directors (and sometimes tenant representation) who provide direction and hold the organisation to account</w:t>
      </w:r>
      <w:r w:rsidR="0066306C">
        <w:rPr>
          <w:rFonts w:ascii="Arial" w:hAnsi="Arial" w:cs="Arial"/>
        </w:rPr>
        <w:t xml:space="preserve">. Boards </w:t>
      </w:r>
      <w:r>
        <w:rPr>
          <w:rFonts w:ascii="Arial" w:hAnsi="Arial" w:cs="Arial"/>
        </w:rPr>
        <w:t>have the responsibility of ensuring that the governance framework for their organisation is effective</w:t>
      </w:r>
      <w:r w:rsidR="0066306C">
        <w:rPr>
          <w:rFonts w:ascii="Arial" w:hAnsi="Arial" w:cs="Arial"/>
        </w:rPr>
        <w:t>, their roles include:</w:t>
      </w:r>
    </w:p>
    <w:p w:rsidR="00137113" w:rsidRPr="00454713" w:rsidRDefault="00137113" w:rsidP="00454713">
      <w:pPr>
        <w:pStyle w:val="ListParagraph"/>
        <w:numPr>
          <w:ilvl w:val="0"/>
          <w:numId w:val="16"/>
        </w:numPr>
        <w:rPr>
          <w:rFonts w:ascii="Arial" w:hAnsi="Arial" w:cs="Arial"/>
        </w:rPr>
      </w:pPr>
      <w:r w:rsidRPr="00454713">
        <w:rPr>
          <w:rFonts w:ascii="Arial" w:hAnsi="Arial" w:cs="Arial"/>
        </w:rPr>
        <w:t>Create and monitor the strategic direction</w:t>
      </w:r>
    </w:p>
    <w:p w:rsidR="00137113" w:rsidRDefault="00137113" w:rsidP="00137113">
      <w:pPr>
        <w:pStyle w:val="ListParagraph"/>
        <w:numPr>
          <w:ilvl w:val="0"/>
          <w:numId w:val="12"/>
        </w:numPr>
        <w:rPr>
          <w:rFonts w:ascii="Arial" w:hAnsi="Arial" w:cs="Arial"/>
        </w:rPr>
      </w:pPr>
      <w:r>
        <w:rPr>
          <w:rFonts w:ascii="Arial" w:hAnsi="Arial" w:cs="Arial"/>
        </w:rPr>
        <w:t>Create and agree policies and a framework for control</w:t>
      </w:r>
    </w:p>
    <w:p w:rsidR="00137113" w:rsidRDefault="00137113" w:rsidP="00137113">
      <w:pPr>
        <w:pStyle w:val="ListParagraph"/>
        <w:numPr>
          <w:ilvl w:val="0"/>
          <w:numId w:val="12"/>
        </w:numPr>
        <w:rPr>
          <w:rFonts w:ascii="Arial" w:hAnsi="Arial" w:cs="Arial"/>
        </w:rPr>
      </w:pPr>
      <w:r>
        <w:rPr>
          <w:rFonts w:ascii="Arial" w:hAnsi="Arial" w:cs="Arial"/>
        </w:rPr>
        <w:t>Set targets for the company and monitor performance</w:t>
      </w:r>
    </w:p>
    <w:p w:rsidR="00454713" w:rsidRDefault="00454713" w:rsidP="00454713">
      <w:pPr>
        <w:rPr>
          <w:rFonts w:ascii="Arial" w:hAnsi="Arial" w:cs="Arial"/>
        </w:rPr>
      </w:pPr>
      <w:r>
        <w:rPr>
          <w:rFonts w:ascii="Arial" w:hAnsi="Arial" w:cs="Arial"/>
        </w:rPr>
        <w:t>Social housing organisations are now operating in a more complex and challenging financial environment with greater demands on the leadership of housing organisations</w:t>
      </w:r>
      <w:r w:rsidR="0066306C">
        <w:rPr>
          <w:rFonts w:ascii="Arial" w:hAnsi="Arial" w:cs="Arial"/>
        </w:rPr>
        <w:t xml:space="preserve"> creating </w:t>
      </w:r>
      <w:r w:rsidR="009D3363">
        <w:rPr>
          <w:rFonts w:ascii="Arial" w:hAnsi="Arial" w:cs="Arial"/>
        </w:rPr>
        <w:t>new ways of working and group structures evolving.</w:t>
      </w:r>
      <w:r>
        <w:rPr>
          <w:rFonts w:ascii="Arial" w:hAnsi="Arial" w:cs="Arial"/>
        </w:rPr>
        <w:t xml:space="preserve"> Governance of social housing is evolving </w:t>
      </w:r>
      <w:r w:rsidR="00CA42BF">
        <w:rPr>
          <w:rFonts w:ascii="Arial" w:hAnsi="Arial" w:cs="Arial"/>
        </w:rPr>
        <w:t xml:space="preserve">and </w:t>
      </w:r>
      <w:r>
        <w:rPr>
          <w:rFonts w:ascii="Arial" w:hAnsi="Arial" w:cs="Arial"/>
        </w:rPr>
        <w:t>is</w:t>
      </w:r>
      <w:r w:rsidR="00CA42BF">
        <w:rPr>
          <w:rFonts w:ascii="Arial" w:hAnsi="Arial" w:cs="Arial"/>
        </w:rPr>
        <w:t xml:space="preserve"> now</w:t>
      </w:r>
      <w:r>
        <w:rPr>
          <w:rFonts w:ascii="Arial" w:hAnsi="Arial" w:cs="Arial"/>
        </w:rPr>
        <w:t xml:space="preserve"> largely focused on how the voice of tenants and residents is heard and how well </w:t>
      </w:r>
      <w:r w:rsidR="00CA42BF">
        <w:rPr>
          <w:rFonts w:ascii="Arial" w:hAnsi="Arial" w:cs="Arial"/>
        </w:rPr>
        <w:t>tenants and residents are listened to. The tragic events at Grenfell Tower in June 2017 and have added a greater focus to this aspect of governance.</w:t>
      </w:r>
    </w:p>
    <w:p w:rsidR="0066306C" w:rsidRDefault="0066306C" w:rsidP="00454713">
      <w:pPr>
        <w:rPr>
          <w:rFonts w:ascii="Arial" w:hAnsi="Arial" w:cs="Arial"/>
        </w:rPr>
      </w:pPr>
      <w:r>
        <w:rPr>
          <w:rFonts w:ascii="Arial" w:hAnsi="Arial" w:cs="Arial"/>
        </w:rPr>
        <w:t>The housing associations in South Ribble are governed by appointed boards and supported by a committee structure. Those with group structures often operate with an overlapping governance structure in order to simplify arrangements and share board skill-set.</w:t>
      </w:r>
    </w:p>
    <w:p w:rsidR="0066306C" w:rsidRDefault="0066306C" w:rsidP="003C4057">
      <w:pPr>
        <w:spacing w:after="0"/>
        <w:rPr>
          <w:rFonts w:ascii="Arial" w:hAnsi="Arial" w:cs="Arial"/>
        </w:rPr>
      </w:pPr>
      <w:r>
        <w:rPr>
          <w:rFonts w:ascii="Arial" w:hAnsi="Arial" w:cs="Arial"/>
        </w:rPr>
        <w:t xml:space="preserve">Community Gateway </w:t>
      </w:r>
      <w:r w:rsidR="00AE1266">
        <w:rPr>
          <w:rFonts w:ascii="Arial" w:hAnsi="Arial" w:cs="Arial"/>
        </w:rPr>
        <w:t>Association</w:t>
      </w:r>
      <w:r>
        <w:rPr>
          <w:rFonts w:ascii="Arial" w:hAnsi="Arial" w:cs="Arial"/>
        </w:rPr>
        <w:t xml:space="preserve"> operate slightly differently to the other housing associations</w:t>
      </w:r>
      <w:r w:rsidR="00AE1266">
        <w:rPr>
          <w:rFonts w:ascii="Arial" w:hAnsi="Arial" w:cs="Arial"/>
        </w:rPr>
        <w:t xml:space="preserve"> in that their structure enables tenants to have a level of control/ownership over the organisation. Community Gateway Association were the first housing association to be based on the Community Gateway Model</w:t>
      </w:r>
      <w:r w:rsidR="00AE1266">
        <w:rPr>
          <w:rStyle w:val="FootnoteReference"/>
          <w:rFonts w:ascii="Arial" w:hAnsi="Arial" w:cs="Arial"/>
        </w:rPr>
        <w:footnoteReference w:id="1"/>
      </w:r>
      <w:r w:rsidR="00AE1266">
        <w:rPr>
          <w:rFonts w:ascii="Arial" w:hAnsi="Arial" w:cs="Arial"/>
        </w:rPr>
        <w:t xml:space="preserve"> which puts tenants and residents a the heard of the organisations. The objectives of the model are:</w:t>
      </w:r>
    </w:p>
    <w:p w:rsidR="003C4057" w:rsidRPr="00454713" w:rsidRDefault="003C4057" w:rsidP="003C4057">
      <w:pPr>
        <w:spacing w:after="0"/>
        <w:rPr>
          <w:rFonts w:ascii="Arial" w:hAnsi="Arial" w:cs="Arial"/>
        </w:rPr>
      </w:pPr>
    </w:p>
    <w:p w:rsidR="00AE1266" w:rsidRPr="00AE1266" w:rsidRDefault="00AE1266" w:rsidP="00AE1266">
      <w:pPr>
        <w:numPr>
          <w:ilvl w:val="0"/>
          <w:numId w:val="17"/>
        </w:numPr>
        <w:spacing w:after="0" w:line="240" w:lineRule="auto"/>
        <w:rPr>
          <w:rFonts w:ascii="Arial" w:eastAsia="Times New Roman" w:hAnsi="Arial" w:cs="Arial"/>
          <w:lang w:val="en" w:eastAsia="en-GB"/>
        </w:rPr>
      </w:pPr>
      <w:r w:rsidRPr="00AE1266">
        <w:rPr>
          <w:rFonts w:ascii="Arial" w:eastAsia="Times New Roman" w:hAnsi="Arial" w:cs="Arial"/>
          <w:lang w:val="en" w:eastAsia="en-GB"/>
        </w:rPr>
        <w:t>To generate community pride and vision through providing opportunities for local tenant and community involvement in decisions about homes and neighbo</w:t>
      </w:r>
      <w:r>
        <w:rPr>
          <w:rFonts w:ascii="Arial" w:eastAsia="Times New Roman" w:hAnsi="Arial" w:cs="Arial"/>
          <w:lang w:val="en" w:eastAsia="en-GB"/>
        </w:rPr>
        <w:t>u</w:t>
      </w:r>
      <w:r w:rsidRPr="00AE1266">
        <w:rPr>
          <w:rFonts w:ascii="Arial" w:eastAsia="Times New Roman" w:hAnsi="Arial" w:cs="Arial"/>
          <w:lang w:val="en" w:eastAsia="en-GB"/>
        </w:rPr>
        <w:t>rhoods at a pace right for them and on issues that matter to them</w:t>
      </w:r>
    </w:p>
    <w:p w:rsidR="00AE1266" w:rsidRPr="00AE1266" w:rsidRDefault="00AE1266" w:rsidP="00AE1266">
      <w:pPr>
        <w:numPr>
          <w:ilvl w:val="0"/>
          <w:numId w:val="17"/>
        </w:numPr>
        <w:spacing w:before="100" w:beforeAutospacing="1" w:after="100" w:afterAutospacing="1" w:line="240" w:lineRule="auto"/>
        <w:rPr>
          <w:rFonts w:ascii="Arial" w:eastAsia="Times New Roman" w:hAnsi="Arial" w:cs="Arial"/>
          <w:lang w:val="en" w:eastAsia="en-GB"/>
        </w:rPr>
      </w:pPr>
      <w:r w:rsidRPr="00AE1266">
        <w:rPr>
          <w:rFonts w:ascii="Arial" w:eastAsia="Times New Roman" w:hAnsi="Arial" w:cs="Arial"/>
          <w:lang w:val="en" w:eastAsia="en-GB"/>
        </w:rPr>
        <w:t>To establish a tenant democracy by enabling tenants to become members and owners of the organisation and, through that membership, get involved in decision-making</w:t>
      </w:r>
    </w:p>
    <w:p w:rsidR="00137113" w:rsidRPr="00AE1266" w:rsidRDefault="00AE1266" w:rsidP="003C5992">
      <w:pPr>
        <w:numPr>
          <w:ilvl w:val="0"/>
          <w:numId w:val="17"/>
        </w:numPr>
        <w:spacing w:before="100" w:beforeAutospacing="1" w:after="100" w:afterAutospacing="1" w:line="240" w:lineRule="auto"/>
        <w:rPr>
          <w:rFonts w:ascii="Arial" w:hAnsi="Arial" w:cs="Arial"/>
        </w:rPr>
      </w:pPr>
      <w:r w:rsidRPr="00AE1266">
        <w:rPr>
          <w:rFonts w:ascii="Arial" w:eastAsia="Times New Roman" w:hAnsi="Arial" w:cs="Arial"/>
          <w:lang w:val="en" w:eastAsia="en-GB"/>
        </w:rPr>
        <w:t>To generate a cultural change that brings colleagues and tenants together, where tenants lead and own the organisation working in partnership with CGA colleagues to deliver the quality homes and neighbourhoods they want.</w:t>
      </w:r>
    </w:p>
    <w:p w:rsidR="00826FB3" w:rsidRPr="00D24E81" w:rsidRDefault="00826FB3" w:rsidP="00826FB3">
      <w:pPr>
        <w:rPr>
          <w:rFonts w:ascii="Arial" w:hAnsi="Arial" w:cs="Arial"/>
          <w:b/>
        </w:rPr>
      </w:pPr>
      <w:r>
        <w:rPr>
          <w:rFonts w:ascii="Arial" w:hAnsi="Arial" w:cs="Arial"/>
          <w:b/>
        </w:rPr>
        <w:t>Regulation of Social Housing Providers</w:t>
      </w:r>
    </w:p>
    <w:p w:rsidR="00826FB3" w:rsidRDefault="00826FB3" w:rsidP="00826FB3">
      <w:pPr>
        <w:rPr>
          <w:rFonts w:ascii="Arial" w:hAnsi="Arial" w:cs="Arial"/>
        </w:rPr>
      </w:pPr>
      <w:r>
        <w:rPr>
          <w:rFonts w:ascii="Arial" w:hAnsi="Arial" w:cs="Arial"/>
        </w:rPr>
        <w:t>From January 2018, the regulation of social housing providers in England is the responsibility of the Regulator of Social Housing (RSH). Prior to this, the regulation function sat with the Homes and Communities Agency (HCA) who also held the responsibility of administering grant funding to social housing providers. These two functions have now been separated with Homes England now delivering the grant funding function and the RSH in control of the regulation function. As of 1</w:t>
      </w:r>
      <w:r w:rsidRPr="00A3715B">
        <w:rPr>
          <w:rFonts w:ascii="Arial" w:hAnsi="Arial" w:cs="Arial"/>
          <w:vertAlign w:val="superscript"/>
        </w:rPr>
        <w:t>st</w:t>
      </w:r>
      <w:r>
        <w:rPr>
          <w:rFonts w:ascii="Arial" w:hAnsi="Arial" w:cs="Arial"/>
        </w:rPr>
        <w:t xml:space="preserve"> October 2018, the RSH became a stand-alone non-departmental public body of government.</w:t>
      </w:r>
    </w:p>
    <w:p w:rsidR="00826FB3" w:rsidRDefault="00826FB3" w:rsidP="00826FB3">
      <w:pPr>
        <w:rPr>
          <w:rFonts w:ascii="Arial" w:hAnsi="Arial" w:cs="Arial"/>
        </w:rPr>
      </w:pPr>
      <w:r>
        <w:rPr>
          <w:rFonts w:ascii="Arial" w:hAnsi="Arial" w:cs="Arial"/>
        </w:rPr>
        <w:t>All social housing providers in England are required to be registered with the regulator. This includes local authorities, housing associations, housing co-operatives and profit-making organisations.</w:t>
      </w:r>
    </w:p>
    <w:p w:rsidR="00826FB3" w:rsidRDefault="00826FB3" w:rsidP="00826FB3">
      <w:pPr>
        <w:rPr>
          <w:rFonts w:ascii="Arial" w:hAnsi="Arial" w:cs="Arial"/>
        </w:rPr>
      </w:pPr>
      <w:r>
        <w:rPr>
          <w:rFonts w:ascii="Arial" w:hAnsi="Arial" w:cs="Arial"/>
        </w:rPr>
        <w:lastRenderedPageBreak/>
        <w:t>The RSH has adopted a co-regulatory approach to the regulation of the housing sector and requires that housing associations must align to an appropriate code of governance, it is for the board to determine what is right for their organisation. Many housing associations adopt the National Housing Federation Code</w:t>
      </w:r>
      <w:r w:rsidR="00AE1266">
        <w:rPr>
          <w:rFonts w:ascii="Arial" w:hAnsi="Arial" w:cs="Arial"/>
        </w:rPr>
        <w:t xml:space="preserve"> of Governance 2015</w:t>
      </w:r>
      <w:r>
        <w:rPr>
          <w:rStyle w:val="FootnoteReference"/>
          <w:rFonts w:ascii="Arial" w:hAnsi="Arial" w:cs="Arial"/>
        </w:rPr>
        <w:footnoteReference w:id="2"/>
      </w:r>
      <w:r>
        <w:rPr>
          <w:rFonts w:ascii="Arial" w:hAnsi="Arial" w:cs="Arial"/>
        </w:rPr>
        <w:t>.</w:t>
      </w:r>
      <w:r w:rsidR="00311453">
        <w:rPr>
          <w:rFonts w:ascii="Arial" w:hAnsi="Arial" w:cs="Arial"/>
        </w:rPr>
        <w:t xml:space="preserve"> </w:t>
      </w:r>
      <w:r w:rsidR="003C4057">
        <w:rPr>
          <w:rFonts w:ascii="Arial" w:hAnsi="Arial" w:cs="Arial"/>
        </w:rPr>
        <w:t>The regulator m</w:t>
      </w:r>
      <w:r w:rsidR="00311453">
        <w:rPr>
          <w:rFonts w:ascii="Arial" w:hAnsi="Arial" w:cs="Arial"/>
        </w:rPr>
        <w:t>inimis</w:t>
      </w:r>
      <w:r w:rsidR="003C4057">
        <w:rPr>
          <w:rFonts w:ascii="Arial" w:hAnsi="Arial" w:cs="Arial"/>
        </w:rPr>
        <w:t>es</w:t>
      </w:r>
      <w:r w:rsidR="00311453">
        <w:rPr>
          <w:rFonts w:ascii="Arial" w:hAnsi="Arial" w:cs="Arial"/>
        </w:rPr>
        <w:t xml:space="preserve"> interference </w:t>
      </w:r>
      <w:r w:rsidR="003C4057">
        <w:rPr>
          <w:rFonts w:ascii="Arial" w:hAnsi="Arial" w:cs="Arial"/>
        </w:rPr>
        <w:t xml:space="preserve">through its </w:t>
      </w:r>
      <w:r w:rsidR="00311453">
        <w:rPr>
          <w:rFonts w:ascii="Arial" w:hAnsi="Arial" w:cs="Arial"/>
        </w:rPr>
        <w:t>co-regulatory approach meaning that the board is responsible to its tenants for ensuring business and services are managed effectively and that the provider complies with all regulatory standards.</w:t>
      </w:r>
      <w:r w:rsidR="003C4057">
        <w:rPr>
          <w:rFonts w:ascii="Arial" w:hAnsi="Arial" w:cs="Arial"/>
        </w:rPr>
        <w:t xml:space="preserve"> O</w:t>
      </w:r>
      <w:r w:rsidR="00311453">
        <w:rPr>
          <w:rFonts w:ascii="Arial" w:hAnsi="Arial" w:cs="Arial"/>
        </w:rPr>
        <w:t>nus is on the provider to demonstrate their compliance and assess themselves against the regulatory standards.</w:t>
      </w:r>
    </w:p>
    <w:p w:rsidR="00826FB3" w:rsidRDefault="00826FB3" w:rsidP="00826FB3">
      <w:pPr>
        <w:rPr>
          <w:rFonts w:ascii="Arial" w:hAnsi="Arial" w:cs="Arial"/>
        </w:rPr>
      </w:pPr>
      <w:r>
        <w:rPr>
          <w:rFonts w:ascii="Arial" w:hAnsi="Arial" w:cs="Arial"/>
        </w:rPr>
        <w:t>The RSH Regulatory Framework</w:t>
      </w:r>
      <w:r>
        <w:rPr>
          <w:rStyle w:val="FootnoteReference"/>
          <w:rFonts w:ascii="Arial" w:hAnsi="Arial" w:cs="Arial"/>
        </w:rPr>
        <w:footnoteReference w:id="3"/>
      </w:r>
      <w:r>
        <w:rPr>
          <w:rFonts w:ascii="Arial" w:hAnsi="Arial" w:cs="Arial"/>
        </w:rPr>
        <w:t xml:space="preserve"> for social housing in England describes the standards that registered providers of social housing are required to meet and provides the vital components in achieving good governance. The regulatory framework requirements are made up of:</w:t>
      </w:r>
    </w:p>
    <w:p w:rsidR="00826FB3" w:rsidRDefault="00826FB3" w:rsidP="00826FB3">
      <w:pPr>
        <w:pStyle w:val="ListParagraph"/>
        <w:numPr>
          <w:ilvl w:val="0"/>
          <w:numId w:val="4"/>
        </w:numPr>
        <w:rPr>
          <w:rFonts w:ascii="Arial" w:hAnsi="Arial" w:cs="Arial"/>
        </w:rPr>
      </w:pPr>
      <w:r>
        <w:rPr>
          <w:rFonts w:ascii="Arial" w:hAnsi="Arial" w:cs="Arial"/>
        </w:rPr>
        <w:t>Regulatory requirements</w:t>
      </w:r>
    </w:p>
    <w:p w:rsidR="00826FB3" w:rsidRDefault="00826FB3" w:rsidP="00826FB3">
      <w:pPr>
        <w:pStyle w:val="ListParagraph"/>
        <w:numPr>
          <w:ilvl w:val="0"/>
          <w:numId w:val="4"/>
        </w:numPr>
        <w:rPr>
          <w:rFonts w:ascii="Arial" w:hAnsi="Arial" w:cs="Arial"/>
        </w:rPr>
      </w:pPr>
      <w:r>
        <w:rPr>
          <w:rFonts w:ascii="Arial" w:hAnsi="Arial" w:cs="Arial"/>
        </w:rPr>
        <w:t>Codes of practice in relation to certain standards</w:t>
      </w:r>
    </w:p>
    <w:p w:rsidR="00826FB3" w:rsidRDefault="00826FB3" w:rsidP="00826FB3">
      <w:pPr>
        <w:pStyle w:val="ListParagraph"/>
        <w:numPr>
          <w:ilvl w:val="0"/>
          <w:numId w:val="4"/>
        </w:numPr>
        <w:rPr>
          <w:rFonts w:ascii="Arial" w:hAnsi="Arial" w:cs="Arial"/>
        </w:rPr>
      </w:pPr>
      <w:r>
        <w:rPr>
          <w:rFonts w:ascii="Arial" w:hAnsi="Arial" w:cs="Arial"/>
        </w:rPr>
        <w:t>Regulatory guidance in relation to the regulatory requirements and how they will be regulated</w:t>
      </w:r>
    </w:p>
    <w:p w:rsidR="00826FB3" w:rsidRDefault="00826FB3" w:rsidP="00826FB3">
      <w:pPr>
        <w:rPr>
          <w:rFonts w:ascii="Arial" w:hAnsi="Arial" w:cs="Arial"/>
        </w:rPr>
      </w:pPr>
      <w:r>
        <w:rPr>
          <w:rFonts w:ascii="Arial" w:hAnsi="Arial" w:cs="Arial"/>
        </w:rPr>
        <w:t>The regulatory requirements comprise of three economic standards which include the Governance and Financial Viability Standard, Value for Money Standard and the Rent Standard and four consumer standards which include the Tenant Involvement and Empowerment Standard, Home Standard, Tenancy Standard and Neighbourhood and Community Standard.</w:t>
      </w:r>
    </w:p>
    <w:p w:rsidR="00826FB3" w:rsidRDefault="00826FB3" w:rsidP="00826FB3">
      <w:pPr>
        <w:rPr>
          <w:rFonts w:ascii="Arial" w:hAnsi="Arial" w:cs="Arial"/>
        </w:rPr>
      </w:pPr>
      <w:r>
        <w:rPr>
          <w:rFonts w:ascii="Arial" w:hAnsi="Arial" w:cs="Arial"/>
        </w:rPr>
        <w:t xml:space="preserve">Each social housing provider is given a rating based on viability (V1-3) and governance (G1-3). It is these standards that are of most concern to the regulator and of which the regulator is pro-active in its regulation. A reactive approach is taken to the consumer standards and is more centred on co-regulation through tenant scrutiny and tenant involvement. Intervention from the regulator occurs where consumer standards have not been met and there has been or there is potential for serious detriment to tenants. </w:t>
      </w:r>
    </w:p>
    <w:p w:rsidR="00826FB3" w:rsidRDefault="00826FB3" w:rsidP="003C4057">
      <w:pPr>
        <w:rPr>
          <w:rFonts w:ascii="Arial" w:hAnsi="Arial" w:cs="Arial"/>
        </w:rPr>
      </w:pPr>
      <w:r>
        <w:rPr>
          <w:rFonts w:ascii="Arial" w:hAnsi="Arial" w:cs="Arial"/>
        </w:rPr>
        <w:t>A brief outline of both the Economic and Consumer Standards is detailed below:</w:t>
      </w:r>
    </w:p>
    <w:tbl>
      <w:tblPr>
        <w:tblStyle w:val="TableGrid"/>
        <w:tblW w:w="0" w:type="auto"/>
        <w:tblLook w:val="04A0" w:firstRow="1" w:lastRow="0" w:firstColumn="1" w:lastColumn="0" w:noHBand="0" w:noVBand="1"/>
      </w:tblPr>
      <w:tblGrid>
        <w:gridCol w:w="4106"/>
        <w:gridCol w:w="4910"/>
      </w:tblGrid>
      <w:tr w:rsidR="00311453" w:rsidTr="003C4057">
        <w:tc>
          <w:tcPr>
            <w:tcW w:w="4106" w:type="dxa"/>
          </w:tcPr>
          <w:p w:rsidR="00311453" w:rsidRPr="00311453" w:rsidRDefault="00311453" w:rsidP="00311453">
            <w:pPr>
              <w:spacing w:before="40" w:after="40"/>
              <w:rPr>
                <w:rFonts w:ascii="Arial" w:hAnsi="Arial" w:cs="Arial"/>
                <w:b/>
              </w:rPr>
            </w:pPr>
            <w:r>
              <w:rPr>
                <w:rFonts w:ascii="Arial" w:hAnsi="Arial" w:cs="Arial"/>
                <w:b/>
              </w:rPr>
              <w:t>Economic Standards</w:t>
            </w:r>
          </w:p>
        </w:tc>
        <w:tc>
          <w:tcPr>
            <w:tcW w:w="4910" w:type="dxa"/>
          </w:tcPr>
          <w:p w:rsidR="00311453" w:rsidRPr="00311453" w:rsidRDefault="00311453" w:rsidP="00311453">
            <w:pPr>
              <w:spacing w:before="40" w:after="40"/>
              <w:rPr>
                <w:rFonts w:ascii="Arial" w:hAnsi="Arial" w:cs="Arial"/>
                <w:b/>
              </w:rPr>
            </w:pPr>
            <w:r>
              <w:rPr>
                <w:rFonts w:ascii="Arial" w:hAnsi="Arial" w:cs="Arial"/>
                <w:b/>
              </w:rPr>
              <w:t>Consumer Standards</w:t>
            </w:r>
          </w:p>
        </w:tc>
      </w:tr>
      <w:tr w:rsidR="00311453" w:rsidTr="003C4057">
        <w:tc>
          <w:tcPr>
            <w:tcW w:w="4106" w:type="dxa"/>
          </w:tcPr>
          <w:p w:rsidR="00311453" w:rsidRDefault="00311453" w:rsidP="00311453">
            <w:pPr>
              <w:spacing w:before="40" w:after="40"/>
              <w:rPr>
                <w:rFonts w:ascii="Arial" w:hAnsi="Arial" w:cs="Arial"/>
              </w:rPr>
            </w:pPr>
            <w:r w:rsidRPr="00BA291C">
              <w:rPr>
                <w:rFonts w:ascii="Arial" w:hAnsi="Arial" w:cs="Arial"/>
                <w:b/>
                <w:i/>
              </w:rPr>
              <w:t>Governance and Financial Viability Standard:</w:t>
            </w:r>
            <w:r>
              <w:rPr>
                <w:rFonts w:ascii="Arial" w:hAnsi="Arial" w:cs="Arial"/>
                <w:i/>
              </w:rPr>
              <w:t xml:space="preserve"> </w:t>
            </w:r>
            <w:r>
              <w:rPr>
                <w:rFonts w:ascii="Arial" w:hAnsi="Arial" w:cs="Arial"/>
              </w:rPr>
              <w:t>Ensure effective governance and resource management that delivers long-term financial viability</w:t>
            </w:r>
          </w:p>
        </w:tc>
        <w:tc>
          <w:tcPr>
            <w:tcW w:w="4910" w:type="dxa"/>
          </w:tcPr>
          <w:p w:rsidR="00311453" w:rsidRDefault="00311453" w:rsidP="00311453">
            <w:pPr>
              <w:spacing w:before="40" w:after="40"/>
              <w:rPr>
                <w:rFonts w:ascii="Arial" w:hAnsi="Arial" w:cs="Arial"/>
              </w:rPr>
            </w:pPr>
            <w:r w:rsidRPr="00311453">
              <w:rPr>
                <w:rFonts w:ascii="Arial" w:hAnsi="Arial" w:cs="Arial"/>
                <w:b/>
                <w:i/>
              </w:rPr>
              <w:t>Tenant Involvement and Empowerment Standard:</w:t>
            </w:r>
            <w:r>
              <w:rPr>
                <w:rFonts w:ascii="Arial" w:hAnsi="Arial" w:cs="Arial"/>
                <w:i/>
              </w:rPr>
              <w:t xml:space="preserve"> </w:t>
            </w:r>
            <w:r>
              <w:rPr>
                <w:rFonts w:ascii="Arial" w:hAnsi="Arial" w:cs="Arial"/>
              </w:rPr>
              <w:t>Understand and respond to the diverse needs of tenants, and provide choice and opportunities for involvement, resolve complaints fairly and promptly</w:t>
            </w:r>
          </w:p>
        </w:tc>
      </w:tr>
      <w:tr w:rsidR="00311453" w:rsidTr="003C4057">
        <w:tc>
          <w:tcPr>
            <w:tcW w:w="4106" w:type="dxa"/>
          </w:tcPr>
          <w:p w:rsidR="00311453" w:rsidRDefault="00311453" w:rsidP="00311453">
            <w:pPr>
              <w:spacing w:before="40" w:after="40"/>
              <w:rPr>
                <w:rFonts w:ascii="Arial" w:hAnsi="Arial" w:cs="Arial"/>
              </w:rPr>
            </w:pPr>
            <w:r w:rsidRPr="00311453">
              <w:rPr>
                <w:rFonts w:ascii="Arial" w:hAnsi="Arial" w:cs="Arial"/>
                <w:b/>
                <w:i/>
              </w:rPr>
              <w:t>Value for Money Standard:</w:t>
            </w:r>
            <w:r>
              <w:rPr>
                <w:rFonts w:ascii="Arial" w:hAnsi="Arial" w:cs="Arial"/>
                <w:i/>
              </w:rPr>
              <w:t xml:space="preserve"> </w:t>
            </w:r>
            <w:r>
              <w:rPr>
                <w:rFonts w:ascii="Arial" w:hAnsi="Arial" w:cs="Arial"/>
              </w:rPr>
              <w:t>Obtain best value from assets and resources</w:t>
            </w:r>
          </w:p>
        </w:tc>
        <w:tc>
          <w:tcPr>
            <w:tcW w:w="4910" w:type="dxa"/>
          </w:tcPr>
          <w:p w:rsidR="00311453" w:rsidRDefault="00311453" w:rsidP="00311453">
            <w:pPr>
              <w:spacing w:before="40" w:after="40"/>
              <w:rPr>
                <w:rFonts w:ascii="Arial" w:hAnsi="Arial" w:cs="Arial"/>
              </w:rPr>
            </w:pPr>
            <w:r w:rsidRPr="00311453">
              <w:rPr>
                <w:rFonts w:ascii="Arial" w:hAnsi="Arial" w:cs="Arial"/>
                <w:b/>
                <w:i/>
              </w:rPr>
              <w:t>Home Standard:</w:t>
            </w:r>
            <w:r>
              <w:rPr>
                <w:rFonts w:ascii="Arial" w:hAnsi="Arial" w:cs="Arial"/>
                <w:i/>
              </w:rPr>
              <w:t xml:space="preserve"> </w:t>
            </w:r>
            <w:r>
              <w:rPr>
                <w:rFonts w:ascii="Arial" w:hAnsi="Arial" w:cs="Arial"/>
              </w:rPr>
              <w:t>Keep homes safe, decent and in a good state of repair</w:t>
            </w:r>
          </w:p>
        </w:tc>
      </w:tr>
      <w:tr w:rsidR="00311453" w:rsidTr="003C4057">
        <w:tc>
          <w:tcPr>
            <w:tcW w:w="4106" w:type="dxa"/>
          </w:tcPr>
          <w:p w:rsidR="00311453" w:rsidRDefault="00311453" w:rsidP="00311453">
            <w:pPr>
              <w:spacing w:before="40" w:after="40"/>
              <w:rPr>
                <w:rFonts w:ascii="Arial" w:hAnsi="Arial" w:cs="Arial"/>
              </w:rPr>
            </w:pPr>
            <w:r w:rsidRPr="00311453">
              <w:rPr>
                <w:rFonts w:ascii="Arial" w:hAnsi="Arial" w:cs="Arial"/>
                <w:b/>
                <w:i/>
              </w:rPr>
              <w:t>Rent Standard:</w:t>
            </w:r>
            <w:r>
              <w:rPr>
                <w:rFonts w:ascii="Arial" w:hAnsi="Arial" w:cs="Arial"/>
                <w:i/>
              </w:rPr>
              <w:t xml:space="preserve"> </w:t>
            </w:r>
            <w:r>
              <w:rPr>
                <w:rFonts w:ascii="Arial" w:hAnsi="Arial" w:cs="Arial"/>
              </w:rPr>
              <w:t>Charge rent in line with Government rules</w:t>
            </w:r>
          </w:p>
        </w:tc>
        <w:tc>
          <w:tcPr>
            <w:tcW w:w="4910" w:type="dxa"/>
          </w:tcPr>
          <w:p w:rsidR="00311453" w:rsidRDefault="00311453" w:rsidP="00311453">
            <w:pPr>
              <w:spacing w:before="40" w:after="40"/>
              <w:rPr>
                <w:rFonts w:ascii="Arial" w:hAnsi="Arial" w:cs="Arial"/>
              </w:rPr>
            </w:pPr>
            <w:r w:rsidRPr="00311453">
              <w:rPr>
                <w:rFonts w:ascii="Arial" w:hAnsi="Arial" w:cs="Arial"/>
                <w:b/>
                <w:i/>
              </w:rPr>
              <w:t>Tenancy Standard:</w:t>
            </w:r>
            <w:r>
              <w:rPr>
                <w:rFonts w:ascii="Arial" w:hAnsi="Arial" w:cs="Arial"/>
                <w:i/>
              </w:rPr>
              <w:t xml:space="preserve"> </w:t>
            </w:r>
            <w:r>
              <w:rPr>
                <w:rFonts w:ascii="Arial" w:hAnsi="Arial" w:cs="Arial"/>
              </w:rPr>
              <w:t>Let homes and manage tenancies in a fair, transparent and efficient way</w:t>
            </w:r>
          </w:p>
        </w:tc>
      </w:tr>
      <w:tr w:rsidR="00311453" w:rsidTr="003C4057">
        <w:tc>
          <w:tcPr>
            <w:tcW w:w="4106" w:type="dxa"/>
          </w:tcPr>
          <w:p w:rsidR="00311453" w:rsidRDefault="00311453" w:rsidP="00311453">
            <w:pPr>
              <w:spacing w:before="40" w:after="40"/>
              <w:rPr>
                <w:rFonts w:ascii="Arial" w:hAnsi="Arial" w:cs="Arial"/>
              </w:rPr>
            </w:pPr>
          </w:p>
        </w:tc>
        <w:tc>
          <w:tcPr>
            <w:tcW w:w="4910" w:type="dxa"/>
          </w:tcPr>
          <w:p w:rsidR="00311453" w:rsidRDefault="00311453" w:rsidP="00311453">
            <w:pPr>
              <w:spacing w:before="40" w:after="40"/>
              <w:rPr>
                <w:rFonts w:ascii="Arial" w:hAnsi="Arial" w:cs="Arial"/>
              </w:rPr>
            </w:pPr>
            <w:r w:rsidRPr="00311453">
              <w:rPr>
                <w:rFonts w:ascii="Arial" w:hAnsi="Arial" w:cs="Arial"/>
                <w:b/>
                <w:i/>
              </w:rPr>
              <w:t>Neighbourhood and Community Standard:</w:t>
            </w:r>
            <w:r>
              <w:rPr>
                <w:rFonts w:ascii="Arial" w:hAnsi="Arial" w:cs="Arial"/>
                <w:i/>
              </w:rPr>
              <w:t xml:space="preserve"> </w:t>
            </w:r>
            <w:r>
              <w:rPr>
                <w:rFonts w:ascii="Arial" w:hAnsi="Arial" w:cs="Arial"/>
              </w:rPr>
              <w:t>Keep the wider area clean and safe, help to tackle anti-social behaviour and promote community wellbeing</w:t>
            </w:r>
          </w:p>
        </w:tc>
      </w:tr>
    </w:tbl>
    <w:p w:rsidR="009206E5" w:rsidRDefault="00457E36" w:rsidP="00732F6D">
      <w:pPr>
        <w:spacing w:after="0"/>
        <w:rPr>
          <w:rFonts w:ascii="Arial" w:hAnsi="Arial" w:cs="Arial"/>
          <w:b/>
        </w:rPr>
      </w:pPr>
      <w:r>
        <w:rPr>
          <w:rFonts w:ascii="Arial" w:hAnsi="Arial" w:cs="Arial"/>
          <w:b/>
        </w:rPr>
        <w:lastRenderedPageBreak/>
        <w:t>Glossary of Terms</w:t>
      </w:r>
    </w:p>
    <w:p w:rsidR="00457E36" w:rsidRPr="00457E36" w:rsidRDefault="00457E36" w:rsidP="00457E36">
      <w:pPr>
        <w:pStyle w:val="Default"/>
        <w:rPr>
          <w:sz w:val="22"/>
          <w:szCs w:val="22"/>
        </w:rPr>
      </w:pPr>
    </w:p>
    <w:p w:rsidR="00457E36" w:rsidRPr="00457E36" w:rsidRDefault="00457E36" w:rsidP="00457E36">
      <w:pPr>
        <w:pStyle w:val="Default"/>
        <w:rPr>
          <w:sz w:val="22"/>
          <w:szCs w:val="22"/>
        </w:rPr>
      </w:pPr>
      <w:r w:rsidRPr="00457E36">
        <w:rPr>
          <w:b/>
          <w:bCs/>
          <w:sz w:val="22"/>
          <w:szCs w:val="22"/>
        </w:rPr>
        <w:t xml:space="preserve">Affordable housing </w:t>
      </w:r>
    </w:p>
    <w:p w:rsidR="00457E36" w:rsidRDefault="00457E36" w:rsidP="00457E36">
      <w:pPr>
        <w:pStyle w:val="Default"/>
        <w:rPr>
          <w:sz w:val="22"/>
          <w:szCs w:val="22"/>
        </w:rPr>
      </w:pPr>
      <w:r w:rsidRPr="00457E36">
        <w:rPr>
          <w:sz w:val="22"/>
          <w:szCs w:val="22"/>
        </w:rPr>
        <w:t>Affordable housing includes social rented, affordable rented and intermediate housing, provided to households whose needs are not met by the market.</w:t>
      </w:r>
      <w:r w:rsidR="009D3363">
        <w:rPr>
          <w:sz w:val="22"/>
          <w:szCs w:val="22"/>
        </w:rPr>
        <w:t xml:space="preserve"> A full definition is provided at Annex 2 of the National Planning Policy Framework</w:t>
      </w:r>
      <w:r w:rsidR="003C4057">
        <w:rPr>
          <w:rStyle w:val="FootnoteReference"/>
          <w:sz w:val="22"/>
          <w:szCs w:val="22"/>
        </w:rPr>
        <w:footnoteReference w:id="4"/>
      </w:r>
      <w:r w:rsidR="009D3363">
        <w:rPr>
          <w:sz w:val="22"/>
          <w:szCs w:val="22"/>
        </w:rPr>
        <w:t>.</w:t>
      </w:r>
    </w:p>
    <w:p w:rsidR="00457E36" w:rsidRPr="00457E36" w:rsidRDefault="00457E36" w:rsidP="00457E36">
      <w:pPr>
        <w:pStyle w:val="Default"/>
        <w:rPr>
          <w:sz w:val="22"/>
          <w:szCs w:val="22"/>
        </w:rPr>
      </w:pPr>
    </w:p>
    <w:p w:rsidR="00457E36" w:rsidRPr="00457E36" w:rsidRDefault="00457E36" w:rsidP="00457E36">
      <w:pPr>
        <w:pStyle w:val="Default"/>
        <w:rPr>
          <w:sz w:val="22"/>
          <w:szCs w:val="22"/>
        </w:rPr>
      </w:pPr>
      <w:r w:rsidRPr="00457E36">
        <w:rPr>
          <w:b/>
          <w:bCs/>
          <w:sz w:val="22"/>
          <w:szCs w:val="22"/>
        </w:rPr>
        <w:t xml:space="preserve">Affordable </w:t>
      </w:r>
      <w:r w:rsidR="003C4057">
        <w:rPr>
          <w:b/>
          <w:bCs/>
          <w:sz w:val="22"/>
          <w:szCs w:val="22"/>
        </w:rPr>
        <w:t>Rent</w:t>
      </w:r>
      <w:r w:rsidRPr="00457E36">
        <w:rPr>
          <w:b/>
          <w:bCs/>
          <w:sz w:val="22"/>
          <w:szCs w:val="22"/>
        </w:rPr>
        <w:t xml:space="preserve"> </w:t>
      </w:r>
    </w:p>
    <w:p w:rsidR="00457E36" w:rsidRDefault="00457E36" w:rsidP="00457E36">
      <w:pPr>
        <w:spacing w:after="0"/>
        <w:rPr>
          <w:rFonts w:ascii="Arial" w:hAnsi="Arial" w:cs="Arial"/>
        </w:rPr>
      </w:pPr>
      <w:r w:rsidRPr="00457E36">
        <w:rPr>
          <w:rFonts w:ascii="Arial" w:hAnsi="Arial" w:cs="Arial"/>
        </w:rPr>
        <w:t>Affordable rented housing is let by local authorities or private registered providers of social housing (housing associations) to those who are eligible</w:t>
      </w:r>
      <w:r w:rsidR="009D3363">
        <w:rPr>
          <w:rFonts w:ascii="Arial" w:hAnsi="Arial" w:cs="Arial"/>
        </w:rPr>
        <w:t>.</w:t>
      </w:r>
      <w:r w:rsidRPr="00457E36">
        <w:rPr>
          <w:rFonts w:ascii="Arial" w:hAnsi="Arial" w:cs="Arial"/>
        </w:rPr>
        <w:t xml:space="preserve"> Rents </w:t>
      </w:r>
      <w:r w:rsidR="009D3363">
        <w:rPr>
          <w:rFonts w:ascii="Arial" w:hAnsi="Arial" w:cs="Arial"/>
        </w:rPr>
        <w:t xml:space="preserve">charged (including service charges where applicable) must not exceed </w:t>
      </w:r>
      <w:r w:rsidRPr="00457E36">
        <w:rPr>
          <w:rFonts w:ascii="Arial" w:hAnsi="Arial" w:cs="Arial"/>
        </w:rPr>
        <w:t xml:space="preserve">80 per cent of local </w:t>
      </w:r>
      <w:r w:rsidR="009D3363">
        <w:rPr>
          <w:rFonts w:ascii="Arial" w:hAnsi="Arial" w:cs="Arial"/>
        </w:rPr>
        <w:t xml:space="preserve">open </w:t>
      </w:r>
      <w:r w:rsidRPr="00457E36">
        <w:rPr>
          <w:rFonts w:ascii="Arial" w:hAnsi="Arial" w:cs="Arial"/>
        </w:rPr>
        <w:t>market rent.</w:t>
      </w:r>
    </w:p>
    <w:p w:rsidR="00457E36" w:rsidRDefault="00457E36" w:rsidP="00457E36">
      <w:pPr>
        <w:pStyle w:val="Default"/>
      </w:pPr>
    </w:p>
    <w:p w:rsidR="00457E36" w:rsidRPr="00457E36" w:rsidRDefault="00457E36" w:rsidP="00457E36">
      <w:pPr>
        <w:pStyle w:val="Default"/>
        <w:rPr>
          <w:sz w:val="22"/>
          <w:szCs w:val="22"/>
        </w:rPr>
      </w:pPr>
      <w:r w:rsidRPr="00457E36">
        <w:rPr>
          <w:b/>
          <w:bCs/>
          <w:sz w:val="22"/>
          <w:szCs w:val="22"/>
        </w:rPr>
        <w:t xml:space="preserve">Choice-based lettings (CBL) </w:t>
      </w:r>
    </w:p>
    <w:p w:rsidR="00457E36" w:rsidRDefault="00457E36" w:rsidP="00457E36">
      <w:pPr>
        <w:spacing w:after="0"/>
        <w:rPr>
          <w:rFonts w:ascii="Arial" w:hAnsi="Arial" w:cs="Arial"/>
        </w:rPr>
      </w:pPr>
      <w:r w:rsidRPr="00457E36">
        <w:rPr>
          <w:rFonts w:ascii="Arial" w:hAnsi="Arial" w:cs="Arial"/>
        </w:rPr>
        <w:t xml:space="preserve">Choice-based lettings schemes are designed to allow an element of choice for people applying for council and housing association homes and existing tenants who want a transfer. As properties become available for letting, full details are advertised on the </w:t>
      </w:r>
      <w:r w:rsidR="009D3363">
        <w:rPr>
          <w:rFonts w:ascii="Arial" w:hAnsi="Arial" w:cs="Arial"/>
        </w:rPr>
        <w:t>Select Move</w:t>
      </w:r>
      <w:r w:rsidRPr="00457E36">
        <w:rPr>
          <w:rFonts w:ascii="Arial" w:hAnsi="Arial" w:cs="Arial"/>
        </w:rPr>
        <w:t xml:space="preserve"> website</w:t>
      </w:r>
      <w:r w:rsidR="009D3363">
        <w:rPr>
          <w:rFonts w:ascii="Arial" w:hAnsi="Arial" w:cs="Arial"/>
        </w:rPr>
        <w:t>.</w:t>
      </w:r>
    </w:p>
    <w:p w:rsidR="00457E36" w:rsidRDefault="00457E36" w:rsidP="00457E36">
      <w:pPr>
        <w:spacing w:after="0"/>
        <w:rPr>
          <w:rFonts w:ascii="Arial" w:hAnsi="Arial" w:cs="Arial"/>
        </w:rPr>
      </w:pPr>
    </w:p>
    <w:p w:rsidR="00457E36" w:rsidRPr="00826FB3" w:rsidRDefault="00457E36" w:rsidP="00457E36">
      <w:pPr>
        <w:pStyle w:val="Default"/>
        <w:rPr>
          <w:sz w:val="22"/>
          <w:szCs w:val="22"/>
        </w:rPr>
      </w:pPr>
      <w:r w:rsidRPr="00826FB3">
        <w:rPr>
          <w:b/>
          <w:bCs/>
          <w:sz w:val="22"/>
          <w:szCs w:val="22"/>
        </w:rPr>
        <w:t xml:space="preserve">Decent Homes Standard </w:t>
      </w:r>
    </w:p>
    <w:p w:rsidR="00457E36" w:rsidRPr="00826FB3" w:rsidRDefault="00457E36" w:rsidP="00457E36">
      <w:pPr>
        <w:spacing w:after="0"/>
        <w:rPr>
          <w:rFonts w:ascii="Arial" w:hAnsi="Arial" w:cs="Arial"/>
        </w:rPr>
      </w:pPr>
      <w:r w:rsidRPr="00826FB3">
        <w:rPr>
          <w:rFonts w:ascii="Arial" w:hAnsi="Arial" w:cs="Arial"/>
        </w:rPr>
        <w:t>Introduced by government to ensure all social housing meets a minimum standard. The standard requires the property to be free of health and safety hazards, in a reasonable state of repair, having a reasonably modern kitchen, bathroom, boiler and adequate insulation.</w:t>
      </w:r>
    </w:p>
    <w:p w:rsidR="00457E36" w:rsidRPr="00826FB3" w:rsidRDefault="00457E36" w:rsidP="00457E36">
      <w:pPr>
        <w:spacing w:after="0"/>
        <w:rPr>
          <w:rFonts w:ascii="Arial" w:hAnsi="Arial" w:cs="Arial"/>
        </w:rPr>
      </w:pPr>
    </w:p>
    <w:p w:rsidR="00457E36" w:rsidRPr="00826FB3" w:rsidRDefault="00457E36" w:rsidP="00457E36">
      <w:pPr>
        <w:pStyle w:val="Default"/>
        <w:rPr>
          <w:sz w:val="22"/>
          <w:szCs w:val="22"/>
        </w:rPr>
      </w:pPr>
      <w:r w:rsidRPr="00826FB3">
        <w:rPr>
          <w:b/>
          <w:bCs/>
          <w:sz w:val="22"/>
          <w:szCs w:val="22"/>
        </w:rPr>
        <w:t xml:space="preserve">Housing association </w:t>
      </w:r>
    </w:p>
    <w:p w:rsidR="00457E36" w:rsidRPr="00826FB3" w:rsidRDefault="00457E36" w:rsidP="00457E36">
      <w:pPr>
        <w:spacing w:after="0"/>
        <w:rPr>
          <w:rFonts w:ascii="Arial" w:hAnsi="Arial" w:cs="Arial"/>
        </w:rPr>
      </w:pPr>
      <w:r w:rsidRPr="00826FB3">
        <w:rPr>
          <w:rFonts w:ascii="Arial" w:hAnsi="Arial" w:cs="Arial"/>
        </w:rPr>
        <w:t>A not-for-profit organisation set up to provide low cost housing. Housing associations range from small community-led groups to larger organisations. Many help tenants through specialist housing, for example sheltered housing or housing with support services. Many housing associations also operate home ownership schemes such as shared ownership. Housing associations are usually private registered providers of social housing (formerly known as registered social landlords) and regulated by the</w:t>
      </w:r>
      <w:r w:rsidR="009D3363">
        <w:rPr>
          <w:rFonts w:ascii="Arial" w:hAnsi="Arial" w:cs="Arial"/>
        </w:rPr>
        <w:t xml:space="preserve"> Regulator of Social Housing</w:t>
      </w:r>
      <w:r w:rsidRPr="00826FB3">
        <w:rPr>
          <w:rFonts w:ascii="Arial" w:hAnsi="Arial" w:cs="Arial"/>
        </w:rPr>
        <w:t>.</w:t>
      </w:r>
    </w:p>
    <w:p w:rsidR="00457E36" w:rsidRPr="00826FB3" w:rsidRDefault="00457E36" w:rsidP="00457E36">
      <w:pPr>
        <w:spacing w:after="0"/>
        <w:rPr>
          <w:rFonts w:ascii="Arial" w:hAnsi="Arial" w:cs="Arial"/>
        </w:rPr>
      </w:pPr>
    </w:p>
    <w:p w:rsidR="00457E36" w:rsidRPr="00826FB3" w:rsidRDefault="00457E36" w:rsidP="00457E36">
      <w:pPr>
        <w:pStyle w:val="Default"/>
        <w:rPr>
          <w:sz w:val="22"/>
          <w:szCs w:val="22"/>
        </w:rPr>
      </w:pPr>
      <w:r w:rsidRPr="00826FB3">
        <w:rPr>
          <w:b/>
          <w:bCs/>
          <w:sz w:val="22"/>
          <w:szCs w:val="22"/>
        </w:rPr>
        <w:t xml:space="preserve">Intermediate housing </w:t>
      </w:r>
    </w:p>
    <w:p w:rsidR="00457E36" w:rsidRPr="00826FB3" w:rsidRDefault="009D3363" w:rsidP="00457E36">
      <w:pPr>
        <w:spacing w:after="0"/>
        <w:rPr>
          <w:rFonts w:ascii="Arial" w:hAnsi="Arial" w:cs="Arial"/>
        </w:rPr>
      </w:pPr>
      <w:r>
        <w:rPr>
          <w:rFonts w:ascii="Arial" w:hAnsi="Arial" w:cs="Arial"/>
        </w:rPr>
        <w:t xml:space="preserve">Intermediate housing </w:t>
      </w:r>
      <w:r w:rsidR="00457E36" w:rsidRPr="00826FB3">
        <w:rPr>
          <w:rFonts w:ascii="Arial" w:hAnsi="Arial" w:cs="Arial"/>
        </w:rPr>
        <w:t>is aimed at people who do not qualify for social housing but cannot afford full market rents. Intermediate housing includes shared ownership, shared equity schemes and discounted</w:t>
      </w:r>
      <w:r>
        <w:rPr>
          <w:rFonts w:ascii="Arial" w:hAnsi="Arial" w:cs="Arial"/>
        </w:rPr>
        <w:t xml:space="preserve"> open</w:t>
      </w:r>
      <w:r w:rsidR="00457E36" w:rsidRPr="00826FB3">
        <w:rPr>
          <w:rFonts w:ascii="Arial" w:hAnsi="Arial" w:cs="Arial"/>
        </w:rPr>
        <w:t xml:space="preserve"> market </w:t>
      </w:r>
      <w:r>
        <w:rPr>
          <w:rFonts w:ascii="Arial" w:hAnsi="Arial" w:cs="Arial"/>
        </w:rPr>
        <w:t>value</w:t>
      </w:r>
      <w:r w:rsidR="00457E36" w:rsidRPr="00826FB3">
        <w:rPr>
          <w:rFonts w:ascii="Arial" w:hAnsi="Arial" w:cs="Arial"/>
        </w:rPr>
        <w:t xml:space="preserve"> schemes. There are also intermediate rent products available. </w:t>
      </w:r>
      <w:r>
        <w:rPr>
          <w:rFonts w:ascii="Arial" w:hAnsi="Arial" w:cs="Arial"/>
        </w:rPr>
        <w:t>Eligibility criteria varies depending on the type of intermediate housing.</w:t>
      </w:r>
    </w:p>
    <w:p w:rsidR="009D3363" w:rsidRPr="009D3363" w:rsidRDefault="009D3363" w:rsidP="009D3363">
      <w:pPr>
        <w:spacing w:after="0"/>
        <w:rPr>
          <w:rFonts w:ascii="Arial" w:hAnsi="Arial" w:cs="Arial"/>
        </w:rPr>
      </w:pPr>
    </w:p>
    <w:p w:rsidR="00457E36" w:rsidRPr="00826FB3" w:rsidRDefault="00457E36" w:rsidP="00457E36">
      <w:pPr>
        <w:pStyle w:val="Default"/>
        <w:rPr>
          <w:sz w:val="22"/>
          <w:szCs w:val="22"/>
        </w:rPr>
      </w:pPr>
      <w:r w:rsidRPr="00826FB3">
        <w:rPr>
          <w:b/>
          <w:bCs/>
          <w:sz w:val="22"/>
          <w:szCs w:val="22"/>
        </w:rPr>
        <w:t xml:space="preserve">Registered social landlord or registered provider </w:t>
      </w:r>
    </w:p>
    <w:p w:rsidR="00457E36" w:rsidRPr="00826FB3" w:rsidRDefault="00457E36" w:rsidP="00457E36">
      <w:pPr>
        <w:spacing w:after="0"/>
        <w:rPr>
          <w:rFonts w:ascii="Arial" w:hAnsi="Arial" w:cs="Arial"/>
        </w:rPr>
      </w:pPr>
      <w:r w:rsidRPr="00826FB3">
        <w:rPr>
          <w:rFonts w:ascii="Arial" w:hAnsi="Arial" w:cs="Arial"/>
        </w:rPr>
        <w:t xml:space="preserve">An organisation registered with the </w:t>
      </w:r>
      <w:r w:rsidR="009D3363">
        <w:rPr>
          <w:rFonts w:ascii="Arial" w:hAnsi="Arial" w:cs="Arial"/>
        </w:rPr>
        <w:t>Regulator of Social Housing,</w:t>
      </w:r>
      <w:r w:rsidRPr="00826FB3">
        <w:rPr>
          <w:rFonts w:ascii="Arial" w:hAnsi="Arial" w:cs="Arial"/>
        </w:rPr>
        <w:t xml:space="preserve"> under the Housing Act 1996. </w:t>
      </w:r>
      <w:r w:rsidR="003C4057" w:rsidRPr="003C4057">
        <w:rPr>
          <w:rFonts w:ascii="Arial" w:hAnsi="Arial" w:cs="Arial"/>
          <w:lang w:val="en"/>
        </w:rPr>
        <w:t>Registered providers of social housing include not-for-profit organisations such as housing associations and cooperatives, local authorities and for-profit providers.</w:t>
      </w:r>
    </w:p>
    <w:p w:rsidR="00457E36" w:rsidRDefault="00457E36" w:rsidP="00457E36">
      <w:pPr>
        <w:pStyle w:val="Default"/>
        <w:rPr>
          <w:b/>
          <w:bCs/>
          <w:sz w:val="22"/>
          <w:szCs w:val="22"/>
        </w:rPr>
      </w:pPr>
    </w:p>
    <w:p w:rsidR="003C4057" w:rsidRDefault="003C4057" w:rsidP="00457E36">
      <w:pPr>
        <w:pStyle w:val="Default"/>
        <w:rPr>
          <w:b/>
          <w:bCs/>
          <w:sz w:val="22"/>
          <w:szCs w:val="22"/>
        </w:rPr>
      </w:pPr>
      <w:r>
        <w:rPr>
          <w:b/>
          <w:bCs/>
          <w:sz w:val="22"/>
          <w:szCs w:val="22"/>
        </w:rPr>
        <w:t>Regulator of Social Housing</w:t>
      </w:r>
    </w:p>
    <w:p w:rsidR="003C4057" w:rsidRPr="003C4057" w:rsidRDefault="003C4057" w:rsidP="00457E36">
      <w:pPr>
        <w:pStyle w:val="Default"/>
        <w:rPr>
          <w:b/>
          <w:bCs/>
          <w:sz w:val="18"/>
          <w:szCs w:val="22"/>
        </w:rPr>
      </w:pPr>
      <w:r w:rsidRPr="003C4057">
        <w:rPr>
          <w:sz w:val="22"/>
          <w:lang w:val="en"/>
        </w:rPr>
        <w:t>The Regulator of Social Housing regulates registered providers of social housing to promote a viable, efficient and well-governed social housing sector able to deliver homes that meet a range of needs.</w:t>
      </w:r>
      <w:r>
        <w:rPr>
          <w:sz w:val="22"/>
          <w:lang w:val="en"/>
        </w:rPr>
        <w:t xml:space="preserve"> </w:t>
      </w:r>
      <w:r w:rsidRPr="003C4057">
        <w:rPr>
          <w:sz w:val="22"/>
          <w:lang w:val="en"/>
        </w:rPr>
        <w:t xml:space="preserve">The objectives of the regulator are set out in the Housing and Regeneration Act 2008 (as amended). </w:t>
      </w:r>
      <w:r>
        <w:rPr>
          <w:sz w:val="22"/>
          <w:lang w:val="en"/>
        </w:rPr>
        <w:t>The regulator undertakes</w:t>
      </w:r>
      <w:r w:rsidRPr="003C4057">
        <w:rPr>
          <w:sz w:val="22"/>
          <w:lang w:val="en"/>
        </w:rPr>
        <w:t xml:space="preserve"> economic regulation, focusing on governance, financial viability and value for money that maintains lender confidence and protects the taxpayer. </w:t>
      </w:r>
      <w:r>
        <w:rPr>
          <w:sz w:val="22"/>
          <w:lang w:val="en"/>
        </w:rPr>
        <w:t>Additionally, the regulator</w:t>
      </w:r>
      <w:r w:rsidRPr="003C4057">
        <w:rPr>
          <w:sz w:val="22"/>
          <w:lang w:val="en"/>
        </w:rPr>
        <w:t xml:space="preserve"> set</w:t>
      </w:r>
      <w:r>
        <w:rPr>
          <w:sz w:val="22"/>
          <w:lang w:val="en"/>
        </w:rPr>
        <w:t>s</w:t>
      </w:r>
      <w:r w:rsidRPr="003C4057">
        <w:rPr>
          <w:sz w:val="22"/>
          <w:lang w:val="en"/>
        </w:rPr>
        <w:t xml:space="preserve"> consumer standards and may </w:t>
      </w:r>
      <w:proofErr w:type="gramStart"/>
      <w:r w:rsidRPr="003C4057">
        <w:rPr>
          <w:sz w:val="22"/>
          <w:lang w:val="en"/>
        </w:rPr>
        <w:t xml:space="preserve">take </w:t>
      </w:r>
      <w:r w:rsidRPr="003C4057">
        <w:rPr>
          <w:sz w:val="22"/>
          <w:lang w:val="en"/>
        </w:rPr>
        <w:lastRenderedPageBreak/>
        <w:t>action</w:t>
      </w:r>
      <w:proofErr w:type="gramEnd"/>
      <w:r w:rsidRPr="003C4057">
        <w:rPr>
          <w:sz w:val="22"/>
          <w:lang w:val="en"/>
        </w:rPr>
        <w:t xml:space="preserve"> if these standards are breached and there is a significant risk of serious detriment to tenants or potential tenants.</w:t>
      </w:r>
    </w:p>
    <w:p w:rsidR="003C4057" w:rsidRPr="003C4057" w:rsidRDefault="003C4057" w:rsidP="00457E36">
      <w:pPr>
        <w:pStyle w:val="Default"/>
        <w:rPr>
          <w:b/>
          <w:bCs/>
          <w:sz w:val="20"/>
          <w:szCs w:val="22"/>
        </w:rPr>
      </w:pPr>
    </w:p>
    <w:p w:rsidR="00457E36" w:rsidRPr="00826FB3" w:rsidRDefault="00457E36" w:rsidP="00457E36">
      <w:pPr>
        <w:pStyle w:val="Default"/>
        <w:rPr>
          <w:sz w:val="22"/>
          <w:szCs w:val="22"/>
        </w:rPr>
      </w:pPr>
      <w:r w:rsidRPr="00826FB3">
        <w:rPr>
          <w:b/>
          <w:bCs/>
          <w:sz w:val="22"/>
          <w:szCs w:val="22"/>
        </w:rPr>
        <w:t xml:space="preserve">Shared ownership </w:t>
      </w:r>
    </w:p>
    <w:p w:rsidR="00457E36" w:rsidRPr="00826FB3" w:rsidRDefault="009D3363" w:rsidP="00457E36">
      <w:pPr>
        <w:spacing w:after="0"/>
        <w:rPr>
          <w:rFonts w:ascii="Arial" w:hAnsi="Arial" w:cs="Arial"/>
        </w:rPr>
      </w:pPr>
      <w:r>
        <w:rPr>
          <w:rFonts w:ascii="Arial" w:hAnsi="Arial" w:cs="Arial"/>
        </w:rPr>
        <w:t xml:space="preserve">A part </w:t>
      </w:r>
      <w:proofErr w:type="gramStart"/>
      <w:r>
        <w:rPr>
          <w:rFonts w:ascii="Arial" w:hAnsi="Arial" w:cs="Arial"/>
        </w:rPr>
        <w:t>buy</w:t>
      </w:r>
      <w:proofErr w:type="gramEnd"/>
      <w:r>
        <w:rPr>
          <w:rFonts w:ascii="Arial" w:hAnsi="Arial" w:cs="Arial"/>
        </w:rPr>
        <w:t>, part rent s</w:t>
      </w:r>
      <w:r w:rsidR="00457E36" w:rsidRPr="00826FB3">
        <w:rPr>
          <w:rFonts w:ascii="Arial" w:hAnsi="Arial" w:cs="Arial"/>
        </w:rPr>
        <w:t xml:space="preserve">cheme </w:t>
      </w:r>
      <w:r>
        <w:rPr>
          <w:rFonts w:ascii="Arial" w:hAnsi="Arial" w:cs="Arial"/>
        </w:rPr>
        <w:t>for households</w:t>
      </w:r>
      <w:r w:rsidR="00457E36" w:rsidRPr="00826FB3">
        <w:rPr>
          <w:rFonts w:ascii="Arial" w:hAnsi="Arial" w:cs="Arial"/>
        </w:rPr>
        <w:t xml:space="preserve"> unable to</w:t>
      </w:r>
      <w:r>
        <w:rPr>
          <w:rFonts w:ascii="Arial" w:hAnsi="Arial" w:cs="Arial"/>
        </w:rPr>
        <w:t xml:space="preserve"> afford open market value homes. </w:t>
      </w:r>
      <w:r w:rsidR="00457E36" w:rsidRPr="00826FB3">
        <w:rPr>
          <w:rFonts w:ascii="Arial" w:hAnsi="Arial" w:cs="Arial"/>
        </w:rPr>
        <w:t xml:space="preserve">Shared owners can often increase or decrease their </w:t>
      </w:r>
      <w:r>
        <w:rPr>
          <w:rFonts w:ascii="Arial" w:hAnsi="Arial" w:cs="Arial"/>
        </w:rPr>
        <w:t>share</w:t>
      </w:r>
      <w:r w:rsidR="00457E36" w:rsidRPr="00826FB3">
        <w:rPr>
          <w:rFonts w:ascii="Arial" w:hAnsi="Arial" w:cs="Arial"/>
        </w:rPr>
        <w:t xml:space="preserve"> in the home, thorough a process known as staircasing. Shared ownership schemes are offered through Registered </w:t>
      </w:r>
      <w:r w:rsidR="00826FB3" w:rsidRPr="00826FB3">
        <w:rPr>
          <w:rFonts w:ascii="Arial" w:hAnsi="Arial" w:cs="Arial"/>
        </w:rPr>
        <w:t xml:space="preserve">Providers </w:t>
      </w:r>
      <w:r w:rsidR="00457E36" w:rsidRPr="00826FB3">
        <w:rPr>
          <w:rFonts w:ascii="Arial" w:hAnsi="Arial" w:cs="Arial"/>
        </w:rPr>
        <w:t>typically between 25 per cent and 75 per cent share of the home’s value</w:t>
      </w:r>
      <w:r>
        <w:rPr>
          <w:rFonts w:ascii="Arial" w:hAnsi="Arial" w:cs="Arial"/>
        </w:rPr>
        <w:t xml:space="preserve"> depending on the </w:t>
      </w:r>
      <w:proofErr w:type="gramStart"/>
      <w:r>
        <w:rPr>
          <w:rFonts w:ascii="Arial" w:hAnsi="Arial" w:cs="Arial"/>
        </w:rPr>
        <w:t>buyers</w:t>
      </w:r>
      <w:proofErr w:type="gramEnd"/>
      <w:r>
        <w:rPr>
          <w:rFonts w:ascii="Arial" w:hAnsi="Arial" w:cs="Arial"/>
        </w:rPr>
        <w:t xml:space="preserve"> financial ability</w:t>
      </w:r>
      <w:r w:rsidR="00457E36" w:rsidRPr="00826FB3">
        <w:rPr>
          <w:rFonts w:ascii="Arial" w:hAnsi="Arial" w:cs="Arial"/>
        </w:rPr>
        <w:t xml:space="preserve">. A capped rent is paid </w:t>
      </w:r>
      <w:r>
        <w:rPr>
          <w:rFonts w:ascii="Arial" w:hAnsi="Arial" w:cs="Arial"/>
        </w:rPr>
        <w:t xml:space="preserve">to the registered provider </w:t>
      </w:r>
      <w:r w:rsidR="00457E36" w:rsidRPr="00826FB3">
        <w:rPr>
          <w:rFonts w:ascii="Arial" w:hAnsi="Arial" w:cs="Arial"/>
        </w:rPr>
        <w:t xml:space="preserve">on the </w:t>
      </w:r>
      <w:r>
        <w:rPr>
          <w:rFonts w:ascii="Arial" w:hAnsi="Arial" w:cs="Arial"/>
        </w:rPr>
        <w:t>unsold</w:t>
      </w:r>
      <w:r w:rsidR="00457E36" w:rsidRPr="00826FB3">
        <w:rPr>
          <w:rFonts w:ascii="Arial" w:hAnsi="Arial" w:cs="Arial"/>
        </w:rPr>
        <w:t xml:space="preserve"> share. Shared ownership properties are always leasehold</w:t>
      </w:r>
      <w:r>
        <w:rPr>
          <w:rFonts w:ascii="Arial" w:hAnsi="Arial" w:cs="Arial"/>
        </w:rPr>
        <w:t xml:space="preserve"> but freehold can be transferred upon staircasing to 100%.</w:t>
      </w:r>
    </w:p>
    <w:p w:rsidR="00457E36" w:rsidRPr="00826FB3" w:rsidRDefault="00457E36" w:rsidP="00457E36">
      <w:pPr>
        <w:pStyle w:val="Default"/>
        <w:rPr>
          <w:b/>
          <w:bCs/>
          <w:sz w:val="22"/>
          <w:szCs w:val="22"/>
        </w:rPr>
      </w:pPr>
    </w:p>
    <w:p w:rsidR="00457E36" w:rsidRPr="00826FB3" w:rsidRDefault="00457E36" w:rsidP="00457E36">
      <w:pPr>
        <w:pStyle w:val="Default"/>
        <w:rPr>
          <w:sz w:val="22"/>
          <w:szCs w:val="22"/>
        </w:rPr>
      </w:pPr>
      <w:r w:rsidRPr="00826FB3">
        <w:rPr>
          <w:b/>
          <w:bCs/>
          <w:sz w:val="22"/>
          <w:szCs w:val="22"/>
        </w:rPr>
        <w:t xml:space="preserve">Social </w:t>
      </w:r>
      <w:r w:rsidR="003C4057">
        <w:rPr>
          <w:b/>
          <w:bCs/>
          <w:sz w:val="22"/>
          <w:szCs w:val="22"/>
        </w:rPr>
        <w:t>Rent</w:t>
      </w:r>
      <w:r w:rsidRPr="00826FB3">
        <w:rPr>
          <w:b/>
          <w:bCs/>
          <w:sz w:val="22"/>
          <w:szCs w:val="22"/>
        </w:rPr>
        <w:t xml:space="preserve"> </w:t>
      </w:r>
    </w:p>
    <w:p w:rsidR="00457E36" w:rsidRPr="00826FB3" w:rsidRDefault="00457E36" w:rsidP="00457E36">
      <w:pPr>
        <w:spacing w:after="0"/>
        <w:rPr>
          <w:rFonts w:ascii="Arial" w:hAnsi="Arial" w:cs="Arial"/>
        </w:rPr>
      </w:pPr>
      <w:r w:rsidRPr="00826FB3">
        <w:rPr>
          <w:rFonts w:ascii="Arial" w:hAnsi="Arial" w:cs="Arial"/>
        </w:rPr>
        <w:t>Rented housing owned and managed by local authorities, housing associations or Registered Providers. Also see target rent.</w:t>
      </w:r>
    </w:p>
    <w:p w:rsidR="00457E36" w:rsidRPr="00826FB3" w:rsidRDefault="00457E36" w:rsidP="00457E36">
      <w:pPr>
        <w:pStyle w:val="Default"/>
        <w:rPr>
          <w:b/>
          <w:bCs/>
          <w:sz w:val="22"/>
          <w:szCs w:val="22"/>
        </w:rPr>
      </w:pPr>
    </w:p>
    <w:p w:rsidR="00457E36" w:rsidRPr="00826FB3" w:rsidRDefault="00457E36" w:rsidP="00457E36">
      <w:pPr>
        <w:pStyle w:val="Default"/>
        <w:rPr>
          <w:sz w:val="22"/>
          <w:szCs w:val="22"/>
        </w:rPr>
      </w:pPr>
      <w:r w:rsidRPr="00826FB3">
        <w:rPr>
          <w:b/>
          <w:bCs/>
          <w:sz w:val="22"/>
          <w:szCs w:val="22"/>
        </w:rPr>
        <w:t xml:space="preserve">Staircasing </w:t>
      </w:r>
    </w:p>
    <w:p w:rsidR="00457E36" w:rsidRPr="00826FB3" w:rsidRDefault="00457E36" w:rsidP="00457E36">
      <w:pPr>
        <w:spacing w:after="0"/>
        <w:rPr>
          <w:rFonts w:ascii="Arial" w:hAnsi="Arial" w:cs="Arial"/>
        </w:rPr>
      </w:pPr>
      <w:r w:rsidRPr="00826FB3">
        <w:rPr>
          <w:rFonts w:ascii="Arial" w:hAnsi="Arial" w:cs="Arial"/>
        </w:rPr>
        <w:t>The process of buying some, or all, of the remaining shares in a shared ownership home.</w:t>
      </w:r>
    </w:p>
    <w:p w:rsidR="00FF1777" w:rsidRPr="00826FB3" w:rsidRDefault="00FF1777" w:rsidP="00457E36">
      <w:pPr>
        <w:spacing w:after="0"/>
        <w:rPr>
          <w:rFonts w:ascii="Arial" w:hAnsi="Arial" w:cs="Arial"/>
        </w:rPr>
      </w:pPr>
    </w:p>
    <w:p w:rsidR="00806B03" w:rsidRPr="00806B03" w:rsidRDefault="00806B03" w:rsidP="00806B03">
      <w:pPr>
        <w:spacing w:after="0"/>
        <w:rPr>
          <w:rFonts w:ascii="Arial" w:hAnsi="Arial" w:cs="Arial"/>
          <w:b/>
        </w:rPr>
      </w:pPr>
      <w:r w:rsidRPr="00806B03">
        <w:rPr>
          <w:rFonts w:ascii="Arial" w:hAnsi="Arial" w:cs="Arial"/>
          <w:b/>
        </w:rPr>
        <w:t>Target rent</w:t>
      </w:r>
    </w:p>
    <w:p w:rsidR="00FF1777" w:rsidRPr="003C4057" w:rsidRDefault="00806B03" w:rsidP="00457E36">
      <w:pPr>
        <w:spacing w:after="0"/>
        <w:rPr>
          <w:rFonts w:ascii="Arial" w:hAnsi="Arial" w:cs="Arial"/>
        </w:rPr>
      </w:pPr>
      <w:r>
        <w:rPr>
          <w:rFonts w:ascii="Arial" w:hAnsi="Arial" w:cs="Arial"/>
        </w:rPr>
        <w:t>Charged</w:t>
      </w:r>
      <w:r w:rsidRPr="00806B03">
        <w:rPr>
          <w:rFonts w:ascii="Arial" w:hAnsi="Arial" w:cs="Arial"/>
        </w:rPr>
        <w:t xml:space="preserve"> for socially rented properties. Rent levels are worked out using a nationally set formula which is based on the value of the property, the number of bedrooms it has and average earnings for a manual job in the area.</w:t>
      </w:r>
    </w:p>
    <w:sectPr w:rsidR="00FF1777" w:rsidRPr="003C40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E81" w:rsidRDefault="00D24E81" w:rsidP="00D24E81">
      <w:pPr>
        <w:spacing w:after="0" w:line="240" w:lineRule="auto"/>
      </w:pPr>
      <w:r>
        <w:separator/>
      </w:r>
    </w:p>
  </w:endnote>
  <w:endnote w:type="continuationSeparator" w:id="0">
    <w:p w:rsidR="00D24E81" w:rsidRDefault="00D24E81" w:rsidP="00D2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E81" w:rsidRDefault="00D24E81" w:rsidP="00D24E81">
      <w:pPr>
        <w:spacing w:after="0" w:line="240" w:lineRule="auto"/>
      </w:pPr>
      <w:r>
        <w:separator/>
      </w:r>
    </w:p>
  </w:footnote>
  <w:footnote w:type="continuationSeparator" w:id="0">
    <w:p w:rsidR="00D24E81" w:rsidRDefault="00D24E81" w:rsidP="00D24E81">
      <w:pPr>
        <w:spacing w:after="0" w:line="240" w:lineRule="auto"/>
      </w:pPr>
      <w:r>
        <w:continuationSeparator/>
      </w:r>
    </w:p>
  </w:footnote>
  <w:footnote w:id="1">
    <w:p w:rsidR="00AE1266" w:rsidRDefault="00AE1266">
      <w:pPr>
        <w:pStyle w:val="FootnoteText"/>
      </w:pPr>
      <w:r>
        <w:rPr>
          <w:rStyle w:val="FootnoteReference"/>
        </w:rPr>
        <w:footnoteRef/>
      </w:r>
      <w:r>
        <w:t xml:space="preserve"> </w:t>
      </w:r>
      <w:hyperlink r:id="rId1" w:history="1">
        <w:r w:rsidRPr="007951A6">
          <w:rPr>
            <w:rStyle w:val="Hyperlink"/>
          </w:rPr>
          <w:t>https://twoworlds.me/wp-content/uploads/2013/02/EmpoweringCommunities.pdf</w:t>
        </w:r>
      </w:hyperlink>
      <w:r>
        <w:t xml:space="preserve"> </w:t>
      </w:r>
    </w:p>
  </w:footnote>
  <w:footnote w:id="2">
    <w:p w:rsidR="00826FB3" w:rsidRDefault="00826FB3" w:rsidP="00826FB3">
      <w:pPr>
        <w:pStyle w:val="FootnoteText"/>
      </w:pPr>
      <w:r>
        <w:rPr>
          <w:rStyle w:val="FootnoteReference"/>
        </w:rPr>
        <w:footnoteRef/>
      </w:r>
      <w:r>
        <w:t xml:space="preserve"> </w:t>
      </w:r>
      <w:hyperlink r:id="rId2" w:history="1">
        <w:r w:rsidRPr="003A6583">
          <w:rPr>
            <w:rStyle w:val="Hyperlink"/>
          </w:rPr>
          <w:t>https://www.housing.org.uk/resources/code-of-governance-2015/</w:t>
        </w:r>
      </w:hyperlink>
    </w:p>
  </w:footnote>
  <w:footnote w:id="3">
    <w:p w:rsidR="00826FB3" w:rsidRDefault="00826FB3" w:rsidP="00826FB3">
      <w:pPr>
        <w:pStyle w:val="FootnoteText"/>
      </w:pPr>
      <w:r>
        <w:rPr>
          <w:rStyle w:val="FootnoteReference"/>
        </w:rPr>
        <w:footnoteRef/>
      </w:r>
      <w:r>
        <w:t xml:space="preserve"> </w:t>
      </w:r>
      <w:hyperlink r:id="rId3" w:history="1">
        <w:r w:rsidRPr="002114BB">
          <w:rPr>
            <w:rStyle w:val="Hyperlink"/>
          </w:rPr>
          <w:t>https://www.gov.uk/government/collections/regulatory-framework-requirements</w:t>
        </w:r>
      </w:hyperlink>
      <w:r>
        <w:t xml:space="preserve"> </w:t>
      </w:r>
    </w:p>
    <w:p w:rsidR="00826FB3" w:rsidRDefault="00826FB3" w:rsidP="00826FB3">
      <w:pPr>
        <w:pStyle w:val="FootnoteText"/>
      </w:pPr>
    </w:p>
    <w:p w:rsidR="00826FB3" w:rsidRDefault="00826FB3" w:rsidP="00826FB3">
      <w:pPr>
        <w:pStyle w:val="FootnoteText"/>
      </w:pPr>
    </w:p>
  </w:footnote>
  <w:footnote w:id="4">
    <w:p w:rsidR="003C4057" w:rsidRDefault="003C4057">
      <w:pPr>
        <w:pStyle w:val="FootnoteText"/>
      </w:pPr>
      <w:r>
        <w:rPr>
          <w:rStyle w:val="FootnoteReference"/>
        </w:rPr>
        <w:footnoteRef/>
      </w:r>
      <w:r>
        <w:t xml:space="preserve"> </w:t>
      </w:r>
      <w:hyperlink r:id="rId4" w:history="1">
        <w:r w:rsidRPr="007951A6">
          <w:rPr>
            <w:rStyle w:val="Hyperlink"/>
          </w:rPr>
          <w:t>https://www.gov.uk/guidance/national-planning-policy-framework/annex-2-glossary</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B7A"/>
    <w:multiLevelType w:val="hybridMultilevel"/>
    <w:tmpl w:val="E8FE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518B4"/>
    <w:multiLevelType w:val="multilevel"/>
    <w:tmpl w:val="B074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C30A9"/>
    <w:multiLevelType w:val="hybridMultilevel"/>
    <w:tmpl w:val="EC54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E21B3"/>
    <w:multiLevelType w:val="multilevel"/>
    <w:tmpl w:val="202C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52C69"/>
    <w:multiLevelType w:val="multilevel"/>
    <w:tmpl w:val="E33C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8593B"/>
    <w:multiLevelType w:val="hybridMultilevel"/>
    <w:tmpl w:val="C900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40D60"/>
    <w:multiLevelType w:val="multilevel"/>
    <w:tmpl w:val="B05C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61B71"/>
    <w:multiLevelType w:val="hybridMultilevel"/>
    <w:tmpl w:val="EC006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34069"/>
    <w:multiLevelType w:val="multilevel"/>
    <w:tmpl w:val="80B2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B7741F"/>
    <w:multiLevelType w:val="multilevel"/>
    <w:tmpl w:val="4FE4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632830"/>
    <w:multiLevelType w:val="multilevel"/>
    <w:tmpl w:val="CCB0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13765D"/>
    <w:multiLevelType w:val="hybridMultilevel"/>
    <w:tmpl w:val="5AA6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83842"/>
    <w:multiLevelType w:val="multilevel"/>
    <w:tmpl w:val="F4D0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3703A6"/>
    <w:multiLevelType w:val="hybridMultilevel"/>
    <w:tmpl w:val="63E8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7F6AEB"/>
    <w:multiLevelType w:val="multilevel"/>
    <w:tmpl w:val="F63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122B32"/>
    <w:multiLevelType w:val="multilevel"/>
    <w:tmpl w:val="B82E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DD6ABE"/>
    <w:multiLevelType w:val="hybridMultilevel"/>
    <w:tmpl w:val="8FD2E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2"/>
  </w:num>
  <w:num w:numId="3">
    <w:abstractNumId w:val="0"/>
  </w:num>
  <w:num w:numId="4">
    <w:abstractNumId w:val="11"/>
  </w:num>
  <w:num w:numId="5">
    <w:abstractNumId w:val="8"/>
  </w:num>
  <w:num w:numId="6">
    <w:abstractNumId w:val="3"/>
  </w:num>
  <w:num w:numId="7">
    <w:abstractNumId w:val="14"/>
  </w:num>
  <w:num w:numId="8">
    <w:abstractNumId w:val="10"/>
  </w:num>
  <w:num w:numId="9">
    <w:abstractNumId w:val="1"/>
  </w:num>
  <w:num w:numId="10">
    <w:abstractNumId w:val="6"/>
  </w:num>
  <w:num w:numId="11">
    <w:abstractNumId w:val="9"/>
  </w:num>
  <w:num w:numId="12">
    <w:abstractNumId w:val="2"/>
  </w:num>
  <w:num w:numId="13">
    <w:abstractNumId w:val="5"/>
  </w:num>
  <w:num w:numId="14">
    <w:abstractNumId w:val="15"/>
  </w:num>
  <w:num w:numId="15">
    <w:abstractNumId w:val="7"/>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A9"/>
    <w:rsid w:val="00015D29"/>
    <w:rsid w:val="00016477"/>
    <w:rsid w:val="00031163"/>
    <w:rsid w:val="0003465A"/>
    <w:rsid w:val="000B2357"/>
    <w:rsid w:val="00137113"/>
    <w:rsid w:val="001E78B1"/>
    <w:rsid w:val="00246882"/>
    <w:rsid w:val="0025345C"/>
    <w:rsid w:val="002702FC"/>
    <w:rsid w:val="002A456A"/>
    <w:rsid w:val="002B7FD3"/>
    <w:rsid w:val="002D690A"/>
    <w:rsid w:val="00311453"/>
    <w:rsid w:val="00322B7B"/>
    <w:rsid w:val="003301A9"/>
    <w:rsid w:val="00355FA2"/>
    <w:rsid w:val="00372D23"/>
    <w:rsid w:val="00374926"/>
    <w:rsid w:val="00390D06"/>
    <w:rsid w:val="003954F6"/>
    <w:rsid w:val="003C4057"/>
    <w:rsid w:val="003D63E9"/>
    <w:rsid w:val="003F75AB"/>
    <w:rsid w:val="00400612"/>
    <w:rsid w:val="00400F0C"/>
    <w:rsid w:val="00454713"/>
    <w:rsid w:val="00457E36"/>
    <w:rsid w:val="00481362"/>
    <w:rsid w:val="0053235C"/>
    <w:rsid w:val="00561229"/>
    <w:rsid w:val="005A401B"/>
    <w:rsid w:val="005E0792"/>
    <w:rsid w:val="005E44D5"/>
    <w:rsid w:val="005E7AB0"/>
    <w:rsid w:val="0066306C"/>
    <w:rsid w:val="00681058"/>
    <w:rsid w:val="00681A0E"/>
    <w:rsid w:val="006A1980"/>
    <w:rsid w:val="006A76E0"/>
    <w:rsid w:val="007049BA"/>
    <w:rsid w:val="0072372E"/>
    <w:rsid w:val="00732F6D"/>
    <w:rsid w:val="00744FE9"/>
    <w:rsid w:val="007577BC"/>
    <w:rsid w:val="00784538"/>
    <w:rsid w:val="007C7FF9"/>
    <w:rsid w:val="00806B03"/>
    <w:rsid w:val="00826FB3"/>
    <w:rsid w:val="0086064D"/>
    <w:rsid w:val="00880DC8"/>
    <w:rsid w:val="008A5D61"/>
    <w:rsid w:val="008B1FA6"/>
    <w:rsid w:val="009206E5"/>
    <w:rsid w:val="009243ED"/>
    <w:rsid w:val="00926A80"/>
    <w:rsid w:val="00937D25"/>
    <w:rsid w:val="00942ACB"/>
    <w:rsid w:val="00963C6B"/>
    <w:rsid w:val="009774CD"/>
    <w:rsid w:val="009D3363"/>
    <w:rsid w:val="00A14FCD"/>
    <w:rsid w:val="00A27322"/>
    <w:rsid w:val="00A3715B"/>
    <w:rsid w:val="00A46A4B"/>
    <w:rsid w:val="00AE1266"/>
    <w:rsid w:val="00B054FF"/>
    <w:rsid w:val="00B05EE2"/>
    <w:rsid w:val="00B36E27"/>
    <w:rsid w:val="00B56CBF"/>
    <w:rsid w:val="00B66E55"/>
    <w:rsid w:val="00BA291C"/>
    <w:rsid w:val="00BE6B97"/>
    <w:rsid w:val="00C05A8D"/>
    <w:rsid w:val="00C5055C"/>
    <w:rsid w:val="00CA42BF"/>
    <w:rsid w:val="00D14078"/>
    <w:rsid w:val="00D17B71"/>
    <w:rsid w:val="00D24E81"/>
    <w:rsid w:val="00D41675"/>
    <w:rsid w:val="00D60CF3"/>
    <w:rsid w:val="00D71F6C"/>
    <w:rsid w:val="00DD3C40"/>
    <w:rsid w:val="00DF7C5D"/>
    <w:rsid w:val="00E44A94"/>
    <w:rsid w:val="00E93C56"/>
    <w:rsid w:val="00E977E4"/>
    <w:rsid w:val="00EF0230"/>
    <w:rsid w:val="00F87690"/>
    <w:rsid w:val="00F87FA5"/>
    <w:rsid w:val="00FA0BE9"/>
    <w:rsid w:val="00FF1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BE371-66C4-4404-94B1-CFFA7D4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E81"/>
    <w:pPr>
      <w:ind w:left="720"/>
      <w:contextualSpacing/>
    </w:pPr>
  </w:style>
  <w:style w:type="paragraph" w:styleId="PlainText">
    <w:name w:val="Plain Text"/>
    <w:basedOn w:val="Normal"/>
    <w:link w:val="PlainTextChar"/>
    <w:uiPriority w:val="99"/>
    <w:semiHidden/>
    <w:unhideWhenUsed/>
    <w:rsid w:val="00D24E81"/>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D24E81"/>
    <w:rPr>
      <w:rFonts w:ascii="Arial" w:hAnsi="Arial"/>
      <w:szCs w:val="21"/>
    </w:rPr>
  </w:style>
  <w:style w:type="paragraph" w:styleId="FootnoteText">
    <w:name w:val="footnote text"/>
    <w:basedOn w:val="Normal"/>
    <w:link w:val="FootnoteTextChar"/>
    <w:uiPriority w:val="99"/>
    <w:semiHidden/>
    <w:unhideWhenUsed/>
    <w:rsid w:val="00D24E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E81"/>
    <w:rPr>
      <w:sz w:val="20"/>
      <w:szCs w:val="20"/>
    </w:rPr>
  </w:style>
  <w:style w:type="character" w:styleId="FootnoteReference">
    <w:name w:val="footnote reference"/>
    <w:basedOn w:val="DefaultParagraphFont"/>
    <w:uiPriority w:val="99"/>
    <w:semiHidden/>
    <w:unhideWhenUsed/>
    <w:rsid w:val="00D24E81"/>
    <w:rPr>
      <w:vertAlign w:val="superscript"/>
    </w:rPr>
  </w:style>
  <w:style w:type="character" w:styleId="Hyperlink">
    <w:name w:val="Hyperlink"/>
    <w:basedOn w:val="DefaultParagraphFont"/>
    <w:uiPriority w:val="99"/>
    <w:unhideWhenUsed/>
    <w:rsid w:val="00D24E81"/>
    <w:rPr>
      <w:color w:val="0563C1" w:themeColor="hyperlink"/>
      <w:u w:val="single"/>
    </w:rPr>
  </w:style>
  <w:style w:type="character" w:styleId="UnresolvedMention">
    <w:name w:val="Unresolved Mention"/>
    <w:basedOn w:val="DefaultParagraphFont"/>
    <w:uiPriority w:val="99"/>
    <w:semiHidden/>
    <w:unhideWhenUsed/>
    <w:rsid w:val="00D24E81"/>
    <w:rPr>
      <w:color w:val="605E5C"/>
      <w:shd w:val="clear" w:color="auto" w:fill="E1DFDD"/>
    </w:rPr>
  </w:style>
  <w:style w:type="paragraph" w:styleId="NormalWeb">
    <w:name w:val="Normal (Web)"/>
    <w:basedOn w:val="Normal"/>
    <w:uiPriority w:val="99"/>
    <w:unhideWhenUsed/>
    <w:rsid w:val="00681A0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55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05E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457E36"/>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2702FC"/>
    <w:pPr>
      <w:spacing w:line="241" w:lineRule="atLeast"/>
    </w:pPr>
    <w:rPr>
      <w:rFonts w:ascii="Helvetica 45 Light" w:hAnsi="Helvetica 45 Light" w:cstheme="minorBidi"/>
      <w:color w:val="auto"/>
    </w:rPr>
  </w:style>
  <w:style w:type="character" w:customStyle="1" w:styleId="A4">
    <w:name w:val="A4"/>
    <w:uiPriority w:val="99"/>
    <w:rsid w:val="002702FC"/>
    <w:rPr>
      <w:rFonts w:cs="Helvetica 45 Light"/>
      <w:color w:val="000000"/>
      <w:sz w:val="14"/>
      <w:szCs w:val="14"/>
    </w:rPr>
  </w:style>
  <w:style w:type="paragraph" w:customStyle="1" w:styleId="Pa0">
    <w:name w:val="Pa0"/>
    <w:basedOn w:val="Default"/>
    <w:next w:val="Default"/>
    <w:uiPriority w:val="99"/>
    <w:rsid w:val="002702FC"/>
    <w:pPr>
      <w:spacing w:line="241" w:lineRule="atLeast"/>
    </w:pPr>
    <w:rPr>
      <w:rFonts w:ascii="Helvetica 45 Light" w:hAnsi="Helvetica 45 Light" w:cstheme="minorBidi"/>
      <w:color w:val="auto"/>
    </w:rPr>
  </w:style>
  <w:style w:type="paragraph" w:customStyle="1" w:styleId="Pa2">
    <w:name w:val="Pa2"/>
    <w:basedOn w:val="Default"/>
    <w:next w:val="Default"/>
    <w:uiPriority w:val="99"/>
    <w:rsid w:val="002702FC"/>
    <w:pPr>
      <w:spacing w:line="181" w:lineRule="atLeast"/>
    </w:pPr>
    <w:rPr>
      <w:rFonts w:ascii="Helvetica 45 Light" w:hAnsi="Helvetica 45 Light" w:cstheme="minorBidi"/>
      <w:color w:val="auto"/>
    </w:rPr>
  </w:style>
  <w:style w:type="character" w:styleId="FollowedHyperlink">
    <w:name w:val="FollowedHyperlink"/>
    <w:basedOn w:val="DefaultParagraphFont"/>
    <w:uiPriority w:val="99"/>
    <w:semiHidden/>
    <w:unhideWhenUsed/>
    <w:rsid w:val="00C05A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5676">
      <w:bodyDiv w:val="1"/>
      <w:marLeft w:val="0"/>
      <w:marRight w:val="0"/>
      <w:marTop w:val="0"/>
      <w:marBottom w:val="0"/>
      <w:divBdr>
        <w:top w:val="none" w:sz="0" w:space="0" w:color="auto"/>
        <w:left w:val="none" w:sz="0" w:space="0" w:color="auto"/>
        <w:bottom w:val="none" w:sz="0" w:space="0" w:color="auto"/>
        <w:right w:val="none" w:sz="0" w:space="0" w:color="auto"/>
      </w:divBdr>
    </w:div>
    <w:div w:id="65953749">
      <w:bodyDiv w:val="1"/>
      <w:marLeft w:val="0"/>
      <w:marRight w:val="0"/>
      <w:marTop w:val="0"/>
      <w:marBottom w:val="0"/>
      <w:divBdr>
        <w:top w:val="none" w:sz="0" w:space="0" w:color="auto"/>
        <w:left w:val="none" w:sz="0" w:space="0" w:color="auto"/>
        <w:bottom w:val="none" w:sz="0" w:space="0" w:color="auto"/>
        <w:right w:val="none" w:sz="0" w:space="0" w:color="auto"/>
      </w:divBdr>
      <w:divsChild>
        <w:div w:id="1849710101">
          <w:marLeft w:val="0"/>
          <w:marRight w:val="0"/>
          <w:marTop w:val="0"/>
          <w:marBottom w:val="0"/>
          <w:divBdr>
            <w:top w:val="none" w:sz="0" w:space="0" w:color="auto"/>
            <w:left w:val="none" w:sz="0" w:space="0" w:color="auto"/>
            <w:bottom w:val="none" w:sz="0" w:space="0" w:color="auto"/>
            <w:right w:val="none" w:sz="0" w:space="0" w:color="auto"/>
          </w:divBdr>
          <w:divsChild>
            <w:div w:id="1525092623">
              <w:marLeft w:val="0"/>
              <w:marRight w:val="0"/>
              <w:marTop w:val="0"/>
              <w:marBottom w:val="0"/>
              <w:divBdr>
                <w:top w:val="none" w:sz="0" w:space="0" w:color="auto"/>
                <w:left w:val="none" w:sz="0" w:space="0" w:color="auto"/>
                <w:bottom w:val="none" w:sz="0" w:space="0" w:color="auto"/>
                <w:right w:val="none" w:sz="0" w:space="0" w:color="auto"/>
              </w:divBdr>
              <w:divsChild>
                <w:div w:id="1089159201">
                  <w:marLeft w:val="0"/>
                  <w:marRight w:val="0"/>
                  <w:marTop w:val="0"/>
                  <w:marBottom w:val="0"/>
                  <w:divBdr>
                    <w:top w:val="none" w:sz="0" w:space="0" w:color="auto"/>
                    <w:left w:val="none" w:sz="0" w:space="0" w:color="auto"/>
                    <w:bottom w:val="none" w:sz="0" w:space="0" w:color="auto"/>
                    <w:right w:val="none" w:sz="0" w:space="0" w:color="auto"/>
                  </w:divBdr>
                  <w:divsChild>
                    <w:div w:id="1074201645">
                      <w:marLeft w:val="0"/>
                      <w:marRight w:val="0"/>
                      <w:marTop w:val="0"/>
                      <w:marBottom w:val="0"/>
                      <w:divBdr>
                        <w:top w:val="none" w:sz="0" w:space="0" w:color="auto"/>
                        <w:left w:val="none" w:sz="0" w:space="0" w:color="auto"/>
                        <w:bottom w:val="none" w:sz="0" w:space="0" w:color="auto"/>
                        <w:right w:val="none" w:sz="0" w:space="0" w:color="auto"/>
                      </w:divBdr>
                      <w:divsChild>
                        <w:div w:id="1975256393">
                          <w:marLeft w:val="0"/>
                          <w:marRight w:val="0"/>
                          <w:marTop w:val="0"/>
                          <w:marBottom w:val="0"/>
                          <w:divBdr>
                            <w:top w:val="none" w:sz="0" w:space="0" w:color="auto"/>
                            <w:left w:val="none" w:sz="0" w:space="0" w:color="auto"/>
                            <w:bottom w:val="none" w:sz="0" w:space="0" w:color="auto"/>
                            <w:right w:val="none" w:sz="0" w:space="0" w:color="auto"/>
                          </w:divBdr>
                          <w:divsChild>
                            <w:div w:id="2474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4976">
      <w:bodyDiv w:val="1"/>
      <w:marLeft w:val="0"/>
      <w:marRight w:val="0"/>
      <w:marTop w:val="0"/>
      <w:marBottom w:val="0"/>
      <w:divBdr>
        <w:top w:val="none" w:sz="0" w:space="0" w:color="auto"/>
        <w:left w:val="none" w:sz="0" w:space="0" w:color="auto"/>
        <w:bottom w:val="none" w:sz="0" w:space="0" w:color="auto"/>
        <w:right w:val="none" w:sz="0" w:space="0" w:color="auto"/>
      </w:divBdr>
      <w:divsChild>
        <w:div w:id="457722949">
          <w:marLeft w:val="0"/>
          <w:marRight w:val="0"/>
          <w:marTop w:val="0"/>
          <w:marBottom w:val="0"/>
          <w:divBdr>
            <w:top w:val="none" w:sz="0" w:space="0" w:color="auto"/>
            <w:left w:val="none" w:sz="0" w:space="0" w:color="auto"/>
            <w:bottom w:val="none" w:sz="0" w:space="0" w:color="auto"/>
            <w:right w:val="none" w:sz="0" w:space="0" w:color="auto"/>
          </w:divBdr>
          <w:divsChild>
            <w:div w:id="741753488">
              <w:marLeft w:val="0"/>
              <w:marRight w:val="0"/>
              <w:marTop w:val="0"/>
              <w:marBottom w:val="0"/>
              <w:divBdr>
                <w:top w:val="none" w:sz="0" w:space="0" w:color="auto"/>
                <w:left w:val="none" w:sz="0" w:space="0" w:color="auto"/>
                <w:bottom w:val="none" w:sz="0" w:space="0" w:color="auto"/>
                <w:right w:val="none" w:sz="0" w:space="0" w:color="auto"/>
              </w:divBdr>
              <w:divsChild>
                <w:div w:id="1975132847">
                  <w:marLeft w:val="0"/>
                  <w:marRight w:val="0"/>
                  <w:marTop w:val="0"/>
                  <w:marBottom w:val="0"/>
                  <w:divBdr>
                    <w:top w:val="none" w:sz="0" w:space="0" w:color="auto"/>
                    <w:left w:val="none" w:sz="0" w:space="0" w:color="auto"/>
                    <w:bottom w:val="none" w:sz="0" w:space="0" w:color="auto"/>
                    <w:right w:val="none" w:sz="0" w:space="0" w:color="auto"/>
                  </w:divBdr>
                  <w:divsChild>
                    <w:div w:id="1079906074">
                      <w:marLeft w:val="0"/>
                      <w:marRight w:val="0"/>
                      <w:marTop w:val="0"/>
                      <w:marBottom w:val="0"/>
                      <w:divBdr>
                        <w:top w:val="none" w:sz="0" w:space="0" w:color="auto"/>
                        <w:left w:val="none" w:sz="0" w:space="0" w:color="auto"/>
                        <w:bottom w:val="none" w:sz="0" w:space="0" w:color="auto"/>
                        <w:right w:val="none" w:sz="0" w:space="0" w:color="auto"/>
                      </w:divBdr>
                      <w:divsChild>
                        <w:div w:id="793213575">
                          <w:marLeft w:val="0"/>
                          <w:marRight w:val="0"/>
                          <w:marTop w:val="0"/>
                          <w:marBottom w:val="0"/>
                          <w:divBdr>
                            <w:top w:val="none" w:sz="0" w:space="0" w:color="auto"/>
                            <w:left w:val="none" w:sz="0" w:space="0" w:color="auto"/>
                            <w:bottom w:val="none" w:sz="0" w:space="0" w:color="auto"/>
                            <w:right w:val="none" w:sz="0" w:space="0" w:color="auto"/>
                          </w:divBdr>
                          <w:divsChild>
                            <w:div w:id="14294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6901">
      <w:bodyDiv w:val="1"/>
      <w:marLeft w:val="0"/>
      <w:marRight w:val="0"/>
      <w:marTop w:val="0"/>
      <w:marBottom w:val="0"/>
      <w:divBdr>
        <w:top w:val="none" w:sz="0" w:space="0" w:color="auto"/>
        <w:left w:val="none" w:sz="0" w:space="0" w:color="auto"/>
        <w:bottom w:val="none" w:sz="0" w:space="0" w:color="auto"/>
        <w:right w:val="none" w:sz="0" w:space="0" w:color="auto"/>
      </w:divBdr>
      <w:divsChild>
        <w:div w:id="960693719">
          <w:marLeft w:val="0"/>
          <w:marRight w:val="0"/>
          <w:marTop w:val="0"/>
          <w:marBottom w:val="0"/>
          <w:divBdr>
            <w:top w:val="none" w:sz="0" w:space="0" w:color="auto"/>
            <w:left w:val="none" w:sz="0" w:space="0" w:color="auto"/>
            <w:bottom w:val="none" w:sz="0" w:space="0" w:color="auto"/>
            <w:right w:val="none" w:sz="0" w:space="0" w:color="auto"/>
          </w:divBdr>
          <w:divsChild>
            <w:div w:id="1539203010">
              <w:marLeft w:val="0"/>
              <w:marRight w:val="0"/>
              <w:marTop w:val="0"/>
              <w:marBottom w:val="0"/>
              <w:divBdr>
                <w:top w:val="none" w:sz="0" w:space="0" w:color="auto"/>
                <w:left w:val="none" w:sz="0" w:space="0" w:color="auto"/>
                <w:bottom w:val="none" w:sz="0" w:space="0" w:color="auto"/>
                <w:right w:val="none" w:sz="0" w:space="0" w:color="auto"/>
              </w:divBdr>
              <w:divsChild>
                <w:div w:id="659046096">
                  <w:marLeft w:val="0"/>
                  <w:marRight w:val="0"/>
                  <w:marTop w:val="0"/>
                  <w:marBottom w:val="0"/>
                  <w:divBdr>
                    <w:top w:val="none" w:sz="0" w:space="0" w:color="auto"/>
                    <w:left w:val="none" w:sz="0" w:space="0" w:color="auto"/>
                    <w:bottom w:val="none" w:sz="0" w:space="0" w:color="auto"/>
                    <w:right w:val="none" w:sz="0" w:space="0" w:color="auto"/>
                  </w:divBdr>
                  <w:divsChild>
                    <w:div w:id="7173096">
                      <w:marLeft w:val="0"/>
                      <w:marRight w:val="0"/>
                      <w:marTop w:val="0"/>
                      <w:marBottom w:val="0"/>
                      <w:divBdr>
                        <w:top w:val="none" w:sz="0" w:space="0" w:color="auto"/>
                        <w:left w:val="none" w:sz="0" w:space="0" w:color="auto"/>
                        <w:bottom w:val="none" w:sz="0" w:space="0" w:color="auto"/>
                        <w:right w:val="none" w:sz="0" w:space="0" w:color="auto"/>
                      </w:divBdr>
                      <w:divsChild>
                        <w:div w:id="86313514">
                          <w:marLeft w:val="0"/>
                          <w:marRight w:val="0"/>
                          <w:marTop w:val="0"/>
                          <w:marBottom w:val="0"/>
                          <w:divBdr>
                            <w:top w:val="none" w:sz="0" w:space="0" w:color="auto"/>
                            <w:left w:val="none" w:sz="0" w:space="0" w:color="auto"/>
                            <w:bottom w:val="none" w:sz="0" w:space="0" w:color="auto"/>
                            <w:right w:val="none" w:sz="0" w:space="0" w:color="auto"/>
                          </w:divBdr>
                          <w:divsChild>
                            <w:div w:id="8841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661050">
      <w:bodyDiv w:val="1"/>
      <w:marLeft w:val="0"/>
      <w:marRight w:val="0"/>
      <w:marTop w:val="0"/>
      <w:marBottom w:val="0"/>
      <w:divBdr>
        <w:top w:val="none" w:sz="0" w:space="0" w:color="auto"/>
        <w:left w:val="none" w:sz="0" w:space="0" w:color="auto"/>
        <w:bottom w:val="none" w:sz="0" w:space="0" w:color="auto"/>
        <w:right w:val="none" w:sz="0" w:space="0" w:color="auto"/>
      </w:divBdr>
      <w:divsChild>
        <w:div w:id="1665357110">
          <w:marLeft w:val="0"/>
          <w:marRight w:val="0"/>
          <w:marTop w:val="0"/>
          <w:marBottom w:val="0"/>
          <w:divBdr>
            <w:top w:val="none" w:sz="0" w:space="0" w:color="auto"/>
            <w:left w:val="none" w:sz="0" w:space="0" w:color="auto"/>
            <w:bottom w:val="none" w:sz="0" w:space="0" w:color="auto"/>
            <w:right w:val="none" w:sz="0" w:space="0" w:color="auto"/>
          </w:divBdr>
          <w:divsChild>
            <w:div w:id="1740252252">
              <w:marLeft w:val="0"/>
              <w:marRight w:val="0"/>
              <w:marTop w:val="0"/>
              <w:marBottom w:val="0"/>
              <w:divBdr>
                <w:top w:val="none" w:sz="0" w:space="0" w:color="auto"/>
                <w:left w:val="none" w:sz="0" w:space="0" w:color="auto"/>
                <w:bottom w:val="none" w:sz="0" w:space="0" w:color="auto"/>
                <w:right w:val="none" w:sz="0" w:space="0" w:color="auto"/>
              </w:divBdr>
              <w:divsChild>
                <w:div w:id="2028482012">
                  <w:marLeft w:val="0"/>
                  <w:marRight w:val="0"/>
                  <w:marTop w:val="0"/>
                  <w:marBottom w:val="0"/>
                  <w:divBdr>
                    <w:top w:val="none" w:sz="0" w:space="0" w:color="auto"/>
                    <w:left w:val="none" w:sz="0" w:space="0" w:color="auto"/>
                    <w:bottom w:val="none" w:sz="0" w:space="0" w:color="auto"/>
                    <w:right w:val="none" w:sz="0" w:space="0" w:color="auto"/>
                  </w:divBdr>
                  <w:divsChild>
                    <w:div w:id="1347907748">
                      <w:marLeft w:val="0"/>
                      <w:marRight w:val="0"/>
                      <w:marTop w:val="0"/>
                      <w:marBottom w:val="0"/>
                      <w:divBdr>
                        <w:top w:val="none" w:sz="0" w:space="0" w:color="auto"/>
                        <w:left w:val="none" w:sz="0" w:space="0" w:color="auto"/>
                        <w:bottom w:val="none" w:sz="0" w:space="0" w:color="auto"/>
                        <w:right w:val="none" w:sz="0" w:space="0" w:color="auto"/>
                      </w:divBdr>
                      <w:divsChild>
                        <w:div w:id="1425300448">
                          <w:marLeft w:val="0"/>
                          <w:marRight w:val="0"/>
                          <w:marTop w:val="0"/>
                          <w:marBottom w:val="0"/>
                          <w:divBdr>
                            <w:top w:val="none" w:sz="0" w:space="0" w:color="auto"/>
                            <w:left w:val="none" w:sz="0" w:space="0" w:color="auto"/>
                            <w:bottom w:val="none" w:sz="0" w:space="0" w:color="auto"/>
                            <w:right w:val="none" w:sz="0" w:space="0" w:color="auto"/>
                          </w:divBdr>
                          <w:divsChild>
                            <w:div w:id="1335839741">
                              <w:marLeft w:val="0"/>
                              <w:marRight w:val="0"/>
                              <w:marTop w:val="0"/>
                              <w:marBottom w:val="0"/>
                              <w:divBdr>
                                <w:top w:val="none" w:sz="0" w:space="0" w:color="auto"/>
                                <w:left w:val="none" w:sz="0" w:space="0" w:color="auto"/>
                                <w:bottom w:val="none" w:sz="0" w:space="0" w:color="auto"/>
                                <w:right w:val="none" w:sz="0" w:space="0" w:color="auto"/>
                              </w:divBdr>
                              <w:divsChild>
                                <w:div w:id="243151264">
                                  <w:marLeft w:val="0"/>
                                  <w:marRight w:val="0"/>
                                  <w:marTop w:val="0"/>
                                  <w:marBottom w:val="0"/>
                                  <w:divBdr>
                                    <w:top w:val="none" w:sz="0" w:space="0" w:color="auto"/>
                                    <w:left w:val="none" w:sz="0" w:space="0" w:color="auto"/>
                                    <w:bottom w:val="none" w:sz="0" w:space="0" w:color="auto"/>
                                    <w:right w:val="none" w:sz="0" w:space="0" w:color="auto"/>
                                  </w:divBdr>
                                  <w:divsChild>
                                    <w:div w:id="405035478">
                                      <w:marLeft w:val="0"/>
                                      <w:marRight w:val="0"/>
                                      <w:marTop w:val="0"/>
                                      <w:marBottom w:val="0"/>
                                      <w:divBdr>
                                        <w:top w:val="none" w:sz="0" w:space="0" w:color="auto"/>
                                        <w:left w:val="none" w:sz="0" w:space="0" w:color="auto"/>
                                        <w:bottom w:val="none" w:sz="0" w:space="0" w:color="auto"/>
                                        <w:right w:val="none" w:sz="0" w:space="0" w:color="auto"/>
                                      </w:divBdr>
                                      <w:divsChild>
                                        <w:div w:id="22824969">
                                          <w:marLeft w:val="0"/>
                                          <w:marRight w:val="0"/>
                                          <w:marTop w:val="0"/>
                                          <w:marBottom w:val="0"/>
                                          <w:divBdr>
                                            <w:top w:val="none" w:sz="0" w:space="0" w:color="auto"/>
                                            <w:left w:val="none" w:sz="0" w:space="0" w:color="auto"/>
                                            <w:bottom w:val="none" w:sz="0" w:space="0" w:color="auto"/>
                                            <w:right w:val="none" w:sz="0" w:space="0" w:color="auto"/>
                                          </w:divBdr>
                                          <w:divsChild>
                                            <w:div w:id="476654845">
                                              <w:marLeft w:val="0"/>
                                              <w:marRight w:val="0"/>
                                              <w:marTop w:val="0"/>
                                              <w:marBottom w:val="0"/>
                                              <w:divBdr>
                                                <w:top w:val="none" w:sz="0" w:space="0" w:color="auto"/>
                                                <w:left w:val="none" w:sz="0" w:space="0" w:color="auto"/>
                                                <w:bottom w:val="none" w:sz="0" w:space="0" w:color="auto"/>
                                                <w:right w:val="none" w:sz="0" w:space="0" w:color="auto"/>
                                              </w:divBdr>
                                              <w:divsChild>
                                                <w:div w:id="479732792">
                                                  <w:marLeft w:val="0"/>
                                                  <w:marRight w:val="0"/>
                                                  <w:marTop w:val="0"/>
                                                  <w:marBottom w:val="0"/>
                                                  <w:divBdr>
                                                    <w:top w:val="none" w:sz="0" w:space="0" w:color="auto"/>
                                                    <w:left w:val="none" w:sz="0" w:space="0" w:color="auto"/>
                                                    <w:bottom w:val="none" w:sz="0" w:space="0" w:color="auto"/>
                                                    <w:right w:val="none" w:sz="0" w:space="0" w:color="auto"/>
                                                  </w:divBdr>
                                                  <w:divsChild>
                                                    <w:div w:id="2079355936">
                                                      <w:marLeft w:val="0"/>
                                                      <w:marRight w:val="0"/>
                                                      <w:marTop w:val="0"/>
                                                      <w:marBottom w:val="0"/>
                                                      <w:divBdr>
                                                        <w:top w:val="none" w:sz="0" w:space="0" w:color="auto"/>
                                                        <w:left w:val="none" w:sz="0" w:space="0" w:color="auto"/>
                                                        <w:bottom w:val="none" w:sz="0" w:space="0" w:color="auto"/>
                                                        <w:right w:val="none" w:sz="0" w:space="0" w:color="auto"/>
                                                      </w:divBdr>
                                                      <w:divsChild>
                                                        <w:div w:id="874119244">
                                                          <w:marLeft w:val="0"/>
                                                          <w:marRight w:val="0"/>
                                                          <w:marTop w:val="0"/>
                                                          <w:marBottom w:val="0"/>
                                                          <w:divBdr>
                                                            <w:top w:val="none" w:sz="0" w:space="0" w:color="auto"/>
                                                            <w:left w:val="none" w:sz="0" w:space="0" w:color="auto"/>
                                                            <w:bottom w:val="none" w:sz="0" w:space="0" w:color="auto"/>
                                                            <w:right w:val="none" w:sz="0" w:space="0" w:color="auto"/>
                                                          </w:divBdr>
                                                          <w:divsChild>
                                                            <w:div w:id="1627810238">
                                                              <w:marLeft w:val="0"/>
                                                              <w:marRight w:val="0"/>
                                                              <w:marTop w:val="0"/>
                                                              <w:marBottom w:val="0"/>
                                                              <w:divBdr>
                                                                <w:top w:val="none" w:sz="0" w:space="0" w:color="auto"/>
                                                                <w:left w:val="none" w:sz="0" w:space="0" w:color="auto"/>
                                                                <w:bottom w:val="none" w:sz="0" w:space="0" w:color="auto"/>
                                                                <w:right w:val="none" w:sz="0" w:space="0" w:color="auto"/>
                                                              </w:divBdr>
                                                              <w:divsChild>
                                                                <w:div w:id="364058975">
                                                                  <w:marLeft w:val="0"/>
                                                                  <w:marRight w:val="0"/>
                                                                  <w:marTop w:val="0"/>
                                                                  <w:marBottom w:val="0"/>
                                                                  <w:divBdr>
                                                                    <w:top w:val="none" w:sz="0" w:space="0" w:color="auto"/>
                                                                    <w:left w:val="none" w:sz="0" w:space="0" w:color="auto"/>
                                                                    <w:bottom w:val="none" w:sz="0" w:space="0" w:color="auto"/>
                                                                    <w:right w:val="none" w:sz="0" w:space="0" w:color="auto"/>
                                                                  </w:divBdr>
                                                                  <w:divsChild>
                                                                    <w:div w:id="14738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4352937">
      <w:bodyDiv w:val="1"/>
      <w:marLeft w:val="0"/>
      <w:marRight w:val="0"/>
      <w:marTop w:val="0"/>
      <w:marBottom w:val="0"/>
      <w:divBdr>
        <w:top w:val="none" w:sz="0" w:space="0" w:color="auto"/>
        <w:left w:val="none" w:sz="0" w:space="0" w:color="auto"/>
        <w:bottom w:val="none" w:sz="0" w:space="0" w:color="auto"/>
        <w:right w:val="none" w:sz="0" w:space="0" w:color="auto"/>
      </w:divBdr>
      <w:divsChild>
        <w:div w:id="224606450">
          <w:marLeft w:val="0"/>
          <w:marRight w:val="0"/>
          <w:marTop w:val="0"/>
          <w:marBottom w:val="0"/>
          <w:divBdr>
            <w:top w:val="none" w:sz="0" w:space="0" w:color="auto"/>
            <w:left w:val="none" w:sz="0" w:space="0" w:color="auto"/>
            <w:bottom w:val="none" w:sz="0" w:space="0" w:color="auto"/>
            <w:right w:val="none" w:sz="0" w:space="0" w:color="auto"/>
          </w:divBdr>
          <w:divsChild>
            <w:div w:id="2138840466">
              <w:marLeft w:val="0"/>
              <w:marRight w:val="0"/>
              <w:marTop w:val="0"/>
              <w:marBottom w:val="0"/>
              <w:divBdr>
                <w:top w:val="none" w:sz="0" w:space="0" w:color="auto"/>
                <w:left w:val="none" w:sz="0" w:space="0" w:color="auto"/>
                <w:bottom w:val="none" w:sz="0" w:space="0" w:color="auto"/>
                <w:right w:val="none" w:sz="0" w:space="0" w:color="auto"/>
              </w:divBdr>
              <w:divsChild>
                <w:div w:id="965504878">
                  <w:marLeft w:val="0"/>
                  <w:marRight w:val="0"/>
                  <w:marTop w:val="0"/>
                  <w:marBottom w:val="0"/>
                  <w:divBdr>
                    <w:top w:val="none" w:sz="0" w:space="0" w:color="auto"/>
                    <w:left w:val="none" w:sz="0" w:space="0" w:color="auto"/>
                    <w:bottom w:val="none" w:sz="0" w:space="0" w:color="auto"/>
                    <w:right w:val="none" w:sz="0" w:space="0" w:color="auto"/>
                  </w:divBdr>
                  <w:divsChild>
                    <w:div w:id="723407639">
                      <w:marLeft w:val="0"/>
                      <w:marRight w:val="0"/>
                      <w:marTop w:val="0"/>
                      <w:marBottom w:val="0"/>
                      <w:divBdr>
                        <w:top w:val="none" w:sz="0" w:space="0" w:color="auto"/>
                        <w:left w:val="none" w:sz="0" w:space="0" w:color="auto"/>
                        <w:bottom w:val="none" w:sz="0" w:space="0" w:color="auto"/>
                        <w:right w:val="none" w:sz="0" w:space="0" w:color="auto"/>
                      </w:divBdr>
                      <w:divsChild>
                        <w:div w:id="2009137230">
                          <w:marLeft w:val="0"/>
                          <w:marRight w:val="0"/>
                          <w:marTop w:val="0"/>
                          <w:marBottom w:val="0"/>
                          <w:divBdr>
                            <w:top w:val="none" w:sz="0" w:space="0" w:color="auto"/>
                            <w:left w:val="none" w:sz="0" w:space="0" w:color="auto"/>
                            <w:bottom w:val="none" w:sz="0" w:space="0" w:color="auto"/>
                            <w:right w:val="none" w:sz="0" w:space="0" w:color="auto"/>
                          </w:divBdr>
                          <w:divsChild>
                            <w:div w:id="15203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601949">
      <w:bodyDiv w:val="1"/>
      <w:marLeft w:val="0"/>
      <w:marRight w:val="0"/>
      <w:marTop w:val="0"/>
      <w:marBottom w:val="0"/>
      <w:divBdr>
        <w:top w:val="none" w:sz="0" w:space="0" w:color="auto"/>
        <w:left w:val="none" w:sz="0" w:space="0" w:color="auto"/>
        <w:bottom w:val="none" w:sz="0" w:space="0" w:color="auto"/>
        <w:right w:val="none" w:sz="0" w:space="0" w:color="auto"/>
      </w:divBdr>
      <w:divsChild>
        <w:div w:id="1887451482">
          <w:marLeft w:val="0"/>
          <w:marRight w:val="0"/>
          <w:marTop w:val="0"/>
          <w:marBottom w:val="0"/>
          <w:divBdr>
            <w:top w:val="none" w:sz="0" w:space="0" w:color="auto"/>
            <w:left w:val="none" w:sz="0" w:space="0" w:color="auto"/>
            <w:bottom w:val="none" w:sz="0" w:space="0" w:color="auto"/>
            <w:right w:val="none" w:sz="0" w:space="0" w:color="auto"/>
          </w:divBdr>
          <w:divsChild>
            <w:div w:id="960764085">
              <w:marLeft w:val="0"/>
              <w:marRight w:val="0"/>
              <w:marTop w:val="0"/>
              <w:marBottom w:val="0"/>
              <w:divBdr>
                <w:top w:val="none" w:sz="0" w:space="0" w:color="auto"/>
                <w:left w:val="none" w:sz="0" w:space="0" w:color="auto"/>
                <w:bottom w:val="none" w:sz="0" w:space="0" w:color="auto"/>
                <w:right w:val="none" w:sz="0" w:space="0" w:color="auto"/>
              </w:divBdr>
              <w:divsChild>
                <w:div w:id="1135829704">
                  <w:marLeft w:val="0"/>
                  <w:marRight w:val="0"/>
                  <w:marTop w:val="0"/>
                  <w:marBottom w:val="0"/>
                  <w:divBdr>
                    <w:top w:val="none" w:sz="0" w:space="0" w:color="auto"/>
                    <w:left w:val="none" w:sz="0" w:space="0" w:color="auto"/>
                    <w:bottom w:val="none" w:sz="0" w:space="0" w:color="auto"/>
                    <w:right w:val="none" w:sz="0" w:space="0" w:color="auto"/>
                  </w:divBdr>
                  <w:divsChild>
                    <w:div w:id="156072920">
                      <w:marLeft w:val="0"/>
                      <w:marRight w:val="0"/>
                      <w:marTop w:val="0"/>
                      <w:marBottom w:val="0"/>
                      <w:divBdr>
                        <w:top w:val="none" w:sz="0" w:space="0" w:color="auto"/>
                        <w:left w:val="none" w:sz="0" w:space="0" w:color="auto"/>
                        <w:bottom w:val="none" w:sz="0" w:space="0" w:color="auto"/>
                        <w:right w:val="none" w:sz="0" w:space="0" w:color="auto"/>
                      </w:divBdr>
                      <w:divsChild>
                        <w:div w:id="1591811895">
                          <w:marLeft w:val="0"/>
                          <w:marRight w:val="0"/>
                          <w:marTop w:val="0"/>
                          <w:marBottom w:val="0"/>
                          <w:divBdr>
                            <w:top w:val="none" w:sz="0" w:space="0" w:color="auto"/>
                            <w:left w:val="none" w:sz="0" w:space="0" w:color="auto"/>
                            <w:bottom w:val="none" w:sz="0" w:space="0" w:color="auto"/>
                            <w:right w:val="none" w:sz="0" w:space="0" w:color="auto"/>
                          </w:divBdr>
                          <w:divsChild>
                            <w:div w:id="1870684676">
                              <w:marLeft w:val="0"/>
                              <w:marRight w:val="0"/>
                              <w:marTop w:val="0"/>
                              <w:marBottom w:val="0"/>
                              <w:divBdr>
                                <w:top w:val="none" w:sz="0" w:space="0" w:color="auto"/>
                                <w:left w:val="none" w:sz="0" w:space="0" w:color="auto"/>
                                <w:bottom w:val="none" w:sz="0" w:space="0" w:color="auto"/>
                                <w:right w:val="none" w:sz="0" w:space="0" w:color="auto"/>
                              </w:divBdr>
                              <w:divsChild>
                                <w:div w:id="1231694373">
                                  <w:marLeft w:val="0"/>
                                  <w:marRight w:val="0"/>
                                  <w:marTop w:val="0"/>
                                  <w:marBottom w:val="0"/>
                                  <w:divBdr>
                                    <w:top w:val="none" w:sz="0" w:space="0" w:color="auto"/>
                                    <w:left w:val="none" w:sz="0" w:space="0" w:color="auto"/>
                                    <w:bottom w:val="none" w:sz="0" w:space="0" w:color="auto"/>
                                    <w:right w:val="none" w:sz="0" w:space="0" w:color="auto"/>
                                  </w:divBdr>
                                  <w:divsChild>
                                    <w:div w:id="177280680">
                                      <w:marLeft w:val="0"/>
                                      <w:marRight w:val="0"/>
                                      <w:marTop w:val="0"/>
                                      <w:marBottom w:val="0"/>
                                      <w:divBdr>
                                        <w:top w:val="none" w:sz="0" w:space="0" w:color="auto"/>
                                        <w:left w:val="none" w:sz="0" w:space="0" w:color="auto"/>
                                        <w:bottom w:val="none" w:sz="0" w:space="0" w:color="auto"/>
                                        <w:right w:val="none" w:sz="0" w:space="0" w:color="auto"/>
                                      </w:divBdr>
                                      <w:divsChild>
                                        <w:div w:id="1970699767">
                                          <w:marLeft w:val="0"/>
                                          <w:marRight w:val="0"/>
                                          <w:marTop w:val="0"/>
                                          <w:marBottom w:val="0"/>
                                          <w:divBdr>
                                            <w:top w:val="none" w:sz="0" w:space="0" w:color="auto"/>
                                            <w:left w:val="none" w:sz="0" w:space="0" w:color="auto"/>
                                            <w:bottom w:val="none" w:sz="0" w:space="0" w:color="auto"/>
                                            <w:right w:val="none" w:sz="0" w:space="0" w:color="auto"/>
                                          </w:divBdr>
                                          <w:divsChild>
                                            <w:div w:id="2137140103">
                                              <w:marLeft w:val="0"/>
                                              <w:marRight w:val="0"/>
                                              <w:marTop w:val="0"/>
                                              <w:marBottom w:val="0"/>
                                              <w:divBdr>
                                                <w:top w:val="none" w:sz="0" w:space="0" w:color="auto"/>
                                                <w:left w:val="none" w:sz="0" w:space="0" w:color="auto"/>
                                                <w:bottom w:val="none" w:sz="0" w:space="0" w:color="auto"/>
                                                <w:right w:val="none" w:sz="0" w:space="0" w:color="auto"/>
                                              </w:divBdr>
                                              <w:divsChild>
                                                <w:div w:id="280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557145">
      <w:bodyDiv w:val="1"/>
      <w:marLeft w:val="0"/>
      <w:marRight w:val="0"/>
      <w:marTop w:val="0"/>
      <w:marBottom w:val="0"/>
      <w:divBdr>
        <w:top w:val="none" w:sz="0" w:space="0" w:color="auto"/>
        <w:left w:val="none" w:sz="0" w:space="0" w:color="auto"/>
        <w:bottom w:val="none" w:sz="0" w:space="0" w:color="auto"/>
        <w:right w:val="none" w:sz="0" w:space="0" w:color="auto"/>
      </w:divBdr>
      <w:divsChild>
        <w:div w:id="1745293109">
          <w:marLeft w:val="0"/>
          <w:marRight w:val="0"/>
          <w:marTop w:val="0"/>
          <w:marBottom w:val="0"/>
          <w:divBdr>
            <w:top w:val="none" w:sz="0" w:space="0" w:color="auto"/>
            <w:left w:val="none" w:sz="0" w:space="0" w:color="auto"/>
            <w:bottom w:val="none" w:sz="0" w:space="0" w:color="auto"/>
            <w:right w:val="none" w:sz="0" w:space="0" w:color="auto"/>
          </w:divBdr>
          <w:divsChild>
            <w:div w:id="280458861">
              <w:marLeft w:val="0"/>
              <w:marRight w:val="0"/>
              <w:marTop w:val="0"/>
              <w:marBottom w:val="0"/>
              <w:divBdr>
                <w:top w:val="none" w:sz="0" w:space="0" w:color="auto"/>
                <w:left w:val="none" w:sz="0" w:space="0" w:color="auto"/>
                <w:bottom w:val="none" w:sz="0" w:space="0" w:color="auto"/>
                <w:right w:val="none" w:sz="0" w:space="0" w:color="auto"/>
              </w:divBdr>
              <w:divsChild>
                <w:div w:id="1508593513">
                  <w:marLeft w:val="0"/>
                  <w:marRight w:val="0"/>
                  <w:marTop w:val="0"/>
                  <w:marBottom w:val="0"/>
                  <w:divBdr>
                    <w:top w:val="none" w:sz="0" w:space="0" w:color="auto"/>
                    <w:left w:val="none" w:sz="0" w:space="0" w:color="auto"/>
                    <w:bottom w:val="none" w:sz="0" w:space="0" w:color="auto"/>
                    <w:right w:val="none" w:sz="0" w:space="0" w:color="auto"/>
                  </w:divBdr>
                  <w:divsChild>
                    <w:div w:id="2024700178">
                      <w:marLeft w:val="0"/>
                      <w:marRight w:val="0"/>
                      <w:marTop w:val="0"/>
                      <w:marBottom w:val="0"/>
                      <w:divBdr>
                        <w:top w:val="none" w:sz="0" w:space="0" w:color="auto"/>
                        <w:left w:val="none" w:sz="0" w:space="0" w:color="auto"/>
                        <w:bottom w:val="none" w:sz="0" w:space="0" w:color="auto"/>
                        <w:right w:val="none" w:sz="0" w:space="0" w:color="auto"/>
                      </w:divBdr>
                      <w:divsChild>
                        <w:div w:id="1910340333">
                          <w:marLeft w:val="0"/>
                          <w:marRight w:val="0"/>
                          <w:marTop w:val="0"/>
                          <w:marBottom w:val="0"/>
                          <w:divBdr>
                            <w:top w:val="none" w:sz="0" w:space="0" w:color="auto"/>
                            <w:left w:val="none" w:sz="0" w:space="0" w:color="auto"/>
                            <w:bottom w:val="none" w:sz="0" w:space="0" w:color="auto"/>
                            <w:right w:val="none" w:sz="0" w:space="0" w:color="auto"/>
                          </w:divBdr>
                          <w:divsChild>
                            <w:div w:id="18365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042385">
      <w:bodyDiv w:val="1"/>
      <w:marLeft w:val="0"/>
      <w:marRight w:val="0"/>
      <w:marTop w:val="0"/>
      <w:marBottom w:val="0"/>
      <w:divBdr>
        <w:top w:val="none" w:sz="0" w:space="0" w:color="auto"/>
        <w:left w:val="none" w:sz="0" w:space="0" w:color="auto"/>
        <w:bottom w:val="none" w:sz="0" w:space="0" w:color="auto"/>
        <w:right w:val="none" w:sz="0" w:space="0" w:color="auto"/>
      </w:divBdr>
      <w:divsChild>
        <w:div w:id="594629787">
          <w:marLeft w:val="0"/>
          <w:marRight w:val="0"/>
          <w:marTop w:val="0"/>
          <w:marBottom w:val="0"/>
          <w:divBdr>
            <w:top w:val="none" w:sz="0" w:space="0" w:color="auto"/>
            <w:left w:val="none" w:sz="0" w:space="0" w:color="auto"/>
            <w:bottom w:val="none" w:sz="0" w:space="0" w:color="auto"/>
            <w:right w:val="none" w:sz="0" w:space="0" w:color="auto"/>
          </w:divBdr>
          <w:divsChild>
            <w:div w:id="312179671">
              <w:marLeft w:val="0"/>
              <w:marRight w:val="0"/>
              <w:marTop w:val="0"/>
              <w:marBottom w:val="0"/>
              <w:divBdr>
                <w:top w:val="none" w:sz="0" w:space="0" w:color="auto"/>
                <w:left w:val="none" w:sz="0" w:space="0" w:color="auto"/>
                <w:bottom w:val="none" w:sz="0" w:space="0" w:color="auto"/>
                <w:right w:val="none" w:sz="0" w:space="0" w:color="auto"/>
              </w:divBdr>
              <w:divsChild>
                <w:div w:id="1308776224">
                  <w:marLeft w:val="0"/>
                  <w:marRight w:val="0"/>
                  <w:marTop w:val="0"/>
                  <w:marBottom w:val="0"/>
                  <w:divBdr>
                    <w:top w:val="none" w:sz="0" w:space="0" w:color="auto"/>
                    <w:left w:val="none" w:sz="0" w:space="0" w:color="auto"/>
                    <w:bottom w:val="none" w:sz="0" w:space="0" w:color="auto"/>
                    <w:right w:val="none" w:sz="0" w:space="0" w:color="auto"/>
                  </w:divBdr>
                  <w:divsChild>
                    <w:div w:id="2582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7028">
      <w:bodyDiv w:val="1"/>
      <w:marLeft w:val="0"/>
      <w:marRight w:val="0"/>
      <w:marTop w:val="0"/>
      <w:marBottom w:val="0"/>
      <w:divBdr>
        <w:top w:val="none" w:sz="0" w:space="0" w:color="auto"/>
        <w:left w:val="none" w:sz="0" w:space="0" w:color="auto"/>
        <w:bottom w:val="none" w:sz="0" w:space="0" w:color="auto"/>
        <w:right w:val="none" w:sz="0" w:space="0" w:color="auto"/>
      </w:divBdr>
      <w:divsChild>
        <w:div w:id="135294890">
          <w:marLeft w:val="0"/>
          <w:marRight w:val="0"/>
          <w:marTop w:val="0"/>
          <w:marBottom w:val="0"/>
          <w:divBdr>
            <w:top w:val="none" w:sz="0" w:space="0" w:color="auto"/>
            <w:left w:val="none" w:sz="0" w:space="0" w:color="auto"/>
            <w:bottom w:val="none" w:sz="0" w:space="0" w:color="auto"/>
            <w:right w:val="none" w:sz="0" w:space="0" w:color="auto"/>
          </w:divBdr>
          <w:divsChild>
            <w:div w:id="2131701440">
              <w:marLeft w:val="0"/>
              <w:marRight w:val="0"/>
              <w:marTop w:val="0"/>
              <w:marBottom w:val="0"/>
              <w:divBdr>
                <w:top w:val="none" w:sz="0" w:space="0" w:color="auto"/>
                <w:left w:val="none" w:sz="0" w:space="0" w:color="auto"/>
                <w:bottom w:val="none" w:sz="0" w:space="0" w:color="auto"/>
                <w:right w:val="none" w:sz="0" w:space="0" w:color="auto"/>
              </w:divBdr>
              <w:divsChild>
                <w:div w:id="585529556">
                  <w:marLeft w:val="0"/>
                  <w:marRight w:val="0"/>
                  <w:marTop w:val="0"/>
                  <w:marBottom w:val="0"/>
                  <w:divBdr>
                    <w:top w:val="none" w:sz="0" w:space="0" w:color="auto"/>
                    <w:left w:val="none" w:sz="0" w:space="0" w:color="auto"/>
                    <w:bottom w:val="none" w:sz="0" w:space="0" w:color="auto"/>
                    <w:right w:val="none" w:sz="0" w:space="0" w:color="auto"/>
                  </w:divBdr>
                  <w:divsChild>
                    <w:div w:id="1934431388">
                      <w:marLeft w:val="0"/>
                      <w:marRight w:val="0"/>
                      <w:marTop w:val="0"/>
                      <w:marBottom w:val="0"/>
                      <w:divBdr>
                        <w:top w:val="none" w:sz="0" w:space="0" w:color="auto"/>
                        <w:left w:val="none" w:sz="0" w:space="0" w:color="auto"/>
                        <w:bottom w:val="none" w:sz="0" w:space="0" w:color="auto"/>
                        <w:right w:val="none" w:sz="0" w:space="0" w:color="auto"/>
                      </w:divBdr>
                      <w:divsChild>
                        <w:div w:id="353730338">
                          <w:marLeft w:val="0"/>
                          <w:marRight w:val="0"/>
                          <w:marTop w:val="0"/>
                          <w:marBottom w:val="0"/>
                          <w:divBdr>
                            <w:top w:val="none" w:sz="0" w:space="0" w:color="auto"/>
                            <w:left w:val="none" w:sz="0" w:space="0" w:color="auto"/>
                            <w:bottom w:val="none" w:sz="0" w:space="0" w:color="auto"/>
                            <w:right w:val="none" w:sz="0" w:space="0" w:color="auto"/>
                          </w:divBdr>
                          <w:divsChild>
                            <w:div w:id="94558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041586">
      <w:bodyDiv w:val="1"/>
      <w:marLeft w:val="0"/>
      <w:marRight w:val="0"/>
      <w:marTop w:val="0"/>
      <w:marBottom w:val="0"/>
      <w:divBdr>
        <w:top w:val="none" w:sz="0" w:space="0" w:color="auto"/>
        <w:left w:val="none" w:sz="0" w:space="0" w:color="auto"/>
        <w:bottom w:val="none" w:sz="0" w:space="0" w:color="auto"/>
        <w:right w:val="none" w:sz="0" w:space="0" w:color="auto"/>
      </w:divBdr>
      <w:divsChild>
        <w:div w:id="338506238">
          <w:marLeft w:val="0"/>
          <w:marRight w:val="0"/>
          <w:marTop w:val="0"/>
          <w:marBottom w:val="0"/>
          <w:divBdr>
            <w:top w:val="none" w:sz="0" w:space="0" w:color="auto"/>
            <w:left w:val="none" w:sz="0" w:space="0" w:color="auto"/>
            <w:bottom w:val="none" w:sz="0" w:space="0" w:color="auto"/>
            <w:right w:val="none" w:sz="0" w:space="0" w:color="auto"/>
          </w:divBdr>
          <w:divsChild>
            <w:div w:id="731080325">
              <w:marLeft w:val="0"/>
              <w:marRight w:val="0"/>
              <w:marTop w:val="0"/>
              <w:marBottom w:val="0"/>
              <w:divBdr>
                <w:top w:val="none" w:sz="0" w:space="0" w:color="auto"/>
                <w:left w:val="none" w:sz="0" w:space="0" w:color="auto"/>
                <w:bottom w:val="none" w:sz="0" w:space="0" w:color="auto"/>
                <w:right w:val="none" w:sz="0" w:space="0" w:color="auto"/>
              </w:divBdr>
              <w:divsChild>
                <w:div w:id="249311467">
                  <w:marLeft w:val="0"/>
                  <w:marRight w:val="0"/>
                  <w:marTop w:val="0"/>
                  <w:marBottom w:val="0"/>
                  <w:divBdr>
                    <w:top w:val="none" w:sz="0" w:space="0" w:color="auto"/>
                    <w:left w:val="none" w:sz="0" w:space="0" w:color="auto"/>
                    <w:bottom w:val="none" w:sz="0" w:space="0" w:color="auto"/>
                    <w:right w:val="none" w:sz="0" w:space="0" w:color="auto"/>
                  </w:divBdr>
                  <w:divsChild>
                    <w:div w:id="1230463437">
                      <w:marLeft w:val="0"/>
                      <w:marRight w:val="0"/>
                      <w:marTop w:val="0"/>
                      <w:marBottom w:val="0"/>
                      <w:divBdr>
                        <w:top w:val="none" w:sz="0" w:space="0" w:color="auto"/>
                        <w:left w:val="none" w:sz="0" w:space="0" w:color="auto"/>
                        <w:bottom w:val="none" w:sz="0" w:space="0" w:color="auto"/>
                        <w:right w:val="none" w:sz="0" w:space="0" w:color="auto"/>
                      </w:divBdr>
                      <w:divsChild>
                        <w:div w:id="313264474">
                          <w:marLeft w:val="0"/>
                          <w:marRight w:val="0"/>
                          <w:marTop w:val="0"/>
                          <w:marBottom w:val="0"/>
                          <w:divBdr>
                            <w:top w:val="none" w:sz="0" w:space="0" w:color="auto"/>
                            <w:left w:val="none" w:sz="0" w:space="0" w:color="auto"/>
                            <w:bottom w:val="none" w:sz="0" w:space="0" w:color="auto"/>
                            <w:right w:val="none" w:sz="0" w:space="0" w:color="auto"/>
                          </w:divBdr>
                          <w:divsChild>
                            <w:div w:id="20139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regulatory-framework-requirements" TargetMode="External"/><Relationship Id="rId2" Type="http://schemas.openxmlformats.org/officeDocument/2006/relationships/hyperlink" Target="https://www.housing.org.uk/resources/code-of-governance-2015/" TargetMode="External"/><Relationship Id="rId1" Type="http://schemas.openxmlformats.org/officeDocument/2006/relationships/hyperlink" Target="https://twoworlds.me/wp-content/uploads/2013/02/EmpoweringCommunities.pdf" TargetMode="External"/><Relationship Id="rId4" Type="http://schemas.openxmlformats.org/officeDocument/2006/relationships/hyperlink" Target="https://www.gov.uk/guidance/national-planning-policy-framework/annex-2-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4E075-AB1D-4A43-ADA0-56670F61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2172</Words>
  <Characters>12382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Blundell, Suzanne</dc:creator>
  <cp:keywords/>
  <dc:description/>
  <cp:lastModifiedBy>McHugh, Peter</cp:lastModifiedBy>
  <cp:revision>2</cp:revision>
  <dcterms:created xsi:type="dcterms:W3CDTF">2020-03-05T08:49:00Z</dcterms:created>
  <dcterms:modified xsi:type="dcterms:W3CDTF">2020-03-05T08:49:00Z</dcterms:modified>
</cp:coreProperties>
</file>